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B03F3" w14:textId="0E78BB17" w:rsidR="00776E6D" w:rsidRPr="003B50D0" w:rsidRDefault="00776E6D" w:rsidP="00A25976">
      <w:pPr>
        <w:spacing w:after="360" w:line="240" w:lineRule="auto"/>
        <w:jc w:val="both"/>
        <w:outlineLvl w:val="0"/>
        <w:rPr>
          <w:rFonts w:ascii="Century Gothic" w:eastAsia="Times New Roman" w:hAnsi="Century Gothic" w:cs="Mongolian Baiti"/>
          <w:b/>
          <w:caps/>
          <w:color w:val="FF0000"/>
          <w:sz w:val="24"/>
          <w:szCs w:val="24"/>
          <w:lang w:eastAsia="fr-FR"/>
        </w:rPr>
      </w:pPr>
      <w:bookmarkStart w:id="0" w:name="_Toc466965816"/>
      <w:r w:rsidRPr="00A42B98">
        <w:rPr>
          <w:rFonts w:ascii="Century Gothic" w:eastAsia="Times New Roman" w:hAnsi="Century Gothic" w:cs="Mongolian Baiti"/>
          <w:b/>
          <w:caps/>
          <w:sz w:val="24"/>
          <w:szCs w:val="24"/>
          <w:lang w:eastAsia="fr-FR"/>
        </w:rPr>
        <w:t>Annex</w:t>
      </w:r>
      <w:r w:rsidR="00B70253" w:rsidRPr="00A42B98">
        <w:rPr>
          <w:rFonts w:ascii="Century Gothic" w:eastAsia="Times New Roman" w:hAnsi="Century Gothic" w:cs="Mongolian Baiti"/>
          <w:b/>
          <w:caps/>
          <w:sz w:val="24"/>
          <w:szCs w:val="24"/>
          <w:lang w:eastAsia="fr-FR"/>
        </w:rPr>
        <w:t xml:space="preserve">e 3 : Le budget prévisionnel </w:t>
      </w:r>
      <w:r w:rsidR="00BB24AD">
        <w:rPr>
          <w:rFonts w:ascii="Century Gothic" w:eastAsia="Times New Roman" w:hAnsi="Century Gothic" w:cs="Mongolian Baiti"/>
          <w:b/>
          <w:caps/>
          <w:sz w:val="24"/>
          <w:szCs w:val="24"/>
          <w:lang w:eastAsia="fr-FR"/>
        </w:rPr>
        <w:t>détaillé</w:t>
      </w:r>
      <w:r w:rsidRPr="00A42B98">
        <w:rPr>
          <w:rFonts w:ascii="Century Gothic" w:eastAsia="Times New Roman" w:hAnsi="Century Gothic" w:cs="Mongolian Baiti"/>
          <w:b/>
          <w:caps/>
          <w:sz w:val="24"/>
          <w:szCs w:val="24"/>
          <w:lang w:eastAsia="fr-FR"/>
        </w:rPr>
        <w:t xml:space="preserve"> et sa notice d’utilisation</w:t>
      </w:r>
      <w:bookmarkEnd w:id="0"/>
      <w:r w:rsidR="00BB24AD">
        <w:rPr>
          <w:rFonts w:ascii="Century Gothic" w:eastAsia="Times New Roman" w:hAnsi="Century Gothic" w:cs="Mongolian Baiti"/>
          <w:b/>
          <w:caps/>
          <w:sz w:val="24"/>
          <w:szCs w:val="24"/>
          <w:lang w:eastAsia="fr-FR"/>
        </w:rPr>
        <w:t xml:space="preserve"> </w:t>
      </w:r>
      <w:r w:rsidRPr="00A42B98">
        <w:rPr>
          <w:rFonts w:ascii="Century Gothic" w:eastAsia="Times New Roman" w:hAnsi="Century Gothic" w:cs="Mongolian Baiti"/>
          <w:b/>
          <w:caps/>
          <w:sz w:val="24"/>
          <w:szCs w:val="24"/>
          <w:lang w:eastAsia="fr-FR"/>
        </w:rPr>
        <w:t>s’imposent aux projets présélectio</w:t>
      </w:r>
      <w:r w:rsidR="00C60E2E">
        <w:rPr>
          <w:rFonts w:ascii="Century Gothic" w:eastAsia="Times New Roman" w:hAnsi="Century Gothic" w:cs="Mongolian Baiti"/>
          <w:b/>
          <w:caps/>
          <w:sz w:val="24"/>
          <w:szCs w:val="24"/>
          <w:lang w:eastAsia="fr-FR"/>
        </w:rPr>
        <w:t>nnés dans le cadre de l’AMI 2023</w:t>
      </w:r>
      <w:r w:rsidRPr="00A42B98">
        <w:rPr>
          <w:rFonts w:ascii="Century Gothic" w:eastAsia="Times New Roman" w:hAnsi="Century Gothic" w:cs="Mongolian Baiti"/>
          <w:b/>
          <w:caps/>
          <w:sz w:val="24"/>
          <w:szCs w:val="24"/>
          <w:lang w:eastAsia="fr-FR"/>
        </w:rPr>
        <w:t xml:space="preserve"> et ne s’applique pas aux projets instruits et cofinancés d</w:t>
      </w:r>
      <w:r w:rsidR="003F5677" w:rsidRPr="00A42B98">
        <w:rPr>
          <w:rFonts w:ascii="Century Gothic" w:eastAsia="Times New Roman" w:hAnsi="Century Gothic" w:cs="Mongolian Baiti"/>
          <w:b/>
          <w:caps/>
          <w:sz w:val="24"/>
          <w:szCs w:val="24"/>
          <w:lang w:eastAsia="fr-FR"/>
        </w:rPr>
        <w:t>an</w:t>
      </w:r>
      <w:r w:rsidR="00BB24AD">
        <w:rPr>
          <w:rFonts w:ascii="Century Gothic" w:eastAsia="Times New Roman" w:hAnsi="Century Gothic" w:cs="Mongolian Baiti"/>
          <w:b/>
          <w:caps/>
          <w:sz w:val="24"/>
          <w:szCs w:val="24"/>
          <w:lang w:eastAsia="fr-FR"/>
        </w:rPr>
        <w:t>s le cadre des AMI précédents (</w:t>
      </w:r>
      <w:r w:rsidR="003F5677" w:rsidRPr="003B50D0">
        <w:rPr>
          <w:rFonts w:ascii="Century Gothic" w:eastAsia="Times New Roman" w:hAnsi="Century Gothic" w:cs="Mongolian Baiti"/>
          <w:b/>
          <w:caps/>
          <w:color w:val="FF0000"/>
          <w:sz w:val="24"/>
          <w:szCs w:val="24"/>
          <w:lang w:eastAsia="fr-FR"/>
        </w:rPr>
        <w:t xml:space="preserve">en rouge les principales modifications apportées / trame </w:t>
      </w:r>
      <w:r w:rsidR="006548CA" w:rsidRPr="003B50D0">
        <w:rPr>
          <w:rFonts w:ascii="Century Gothic" w:eastAsia="Times New Roman" w:hAnsi="Century Gothic" w:cs="Mongolian Baiti"/>
          <w:b/>
          <w:caps/>
          <w:color w:val="FF0000"/>
          <w:sz w:val="24"/>
          <w:szCs w:val="24"/>
          <w:lang w:eastAsia="fr-FR"/>
        </w:rPr>
        <w:t>précédente)</w:t>
      </w:r>
    </w:p>
    <w:p w14:paraId="35C35AD1" w14:textId="77777777" w:rsidR="00776E6D" w:rsidRPr="00A42B98" w:rsidRDefault="00776E6D" w:rsidP="00776E6D">
      <w:pPr>
        <w:spacing w:after="0" w:line="240" w:lineRule="auto"/>
        <w:rPr>
          <w:rFonts w:ascii="Century Gothic" w:eastAsia="Times New Roman" w:hAnsi="Century Gothic" w:cs="Calibri"/>
          <w:b/>
          <w:color w:val="1F497D"/>
          <w:lang w:eastAsia="fr-FR"/>
        </w:rPr>
      </w:pPr>
    </w:p>
    <w:p w14:paraId="76B6325F" w14:textId="27F7A694" w:rsidR="00B70253" w:rsidRPr="00A42B98" w:rsidRDefault="00B70253" w:rsidP="00776E6D">
      <w:pPr>
        <w:spacing w:after="0" w:line="240" w:lineRule="auto"/>
        <w:rPr>
          <w:rFonts w:ascii="Century Gothic" w:eastAsia="Times New Roman" w:hAnsi="Century Gothic" w:cs="Calibri"/>
          <w:b/>
          <w:caps/>
          <w:color w:val="1F497D"/>
          <w:lang w:eastAsia="fr-FR"/>
        </w:rPr>
      </w:pPr>
    </w:p>
    <w:p w14:paraId="46B766B7" w14:textId="77777777" w:rsidR="00776E6D" w:rsidRPr="00A42B98" w:rsidRDefault="00776E6D" w:rsidP="00776E6D">
      <w:pPr>
        <w:spacing w:after="0" w:line="276" w:lineRule="auto"/>
        <w:jc w:val="both"/>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t>Préambule</w:t>
      </w:r>
    </w:p>
    <w:p w14:paraId="04EC4C3B" w14:textId="77777777" w:rsidR="00776E6D" w:rsidRPr="00A42B98" w:rsidRDefault="00776E6D" w:rsidP="00776E6D">
      <w:pPr>
        <w:spacing w:after="0" w:line="240" w:lineRule="auto"/>
        <w:ind w:left="1134"/>
        <w:rPr>
          <w:rFonts w:ascii="Century Gothic" w:eastAsia="Times New Roman" w:hAnsi="Century Gothic" w:cs="Calibri"/>
          <w:b/>
          <w:u w:val="single"/>
          <w:lang w:eastAsia="fr-FR"/>
        </w:rPr>
      </w:pPr>
    </w:p>
    <w:p w14:paraId="78352D6D" w14:textId="19B08851" w:rsidR="00776E6D" w:rsidRPr="00A42B98" w:rsidRDefault="00776E6D" w:rsidP="00776E6D">
      <w:pPr>
        <w:spacing w:after="0" w:line="276" w:lineRule="auto"/>
        <w:jc w:val="both"/>
        <w:rPr>
          <w:rFonts w:ascii="Century Gothic" w:eastAsia="Times New Roman" w:hAnsi="Century Gothic" w:cs="Calibri"/>
          <w:color w:val="C00000"/>
          <w:lang w:eastAsia="fr-FR"/>
        </w:rPr>
      </w:pPr>
      <w:r w:rsidRPr="00A42B98">
        <w:rPr>
          <w:rFonts w:ascii="Century Gothic" w:eastAsia="Times New Roman" w:hAnsi="Century Gothic" w:cs="Calibri"/>
          <w:color w:val="C00000"/>
          <w:lang w:eastAsia="fr-FR"/>
        </w:rPr>
        <w:t>Le tableau budgétaire a évolué par</w:t>
      </w:r>
      <w:r w:rsidR="006249E0" w:rsidRPr="00A42B98">
        <w:rPr>
          <w:rFonts w:ascii="Century Gothic" w:eastAsia="Times New Roman" w:hAnsi="Century Gothic" w:cs="Calibri"/>
          <w:color w:val="C00000"/>
          <w:lang w:eastAsia="fr-FR"/>
        </w:rPr>
        <w:t xml:space="preserve"> </w:t>
      </w:r>
      <w:r w:rsidRPr="00A42B98">
        <w:rPr>
          <w:rFonts w:ascii="Century Gothic" w:eastAsia="Times New Roman" w:hAnsi="Century Gothic" w:cs="Calibri"/>
          <w:color w:val="C00000"/>
          <w:lang w:eastAsia="fr-FR"/>
        </w:rPr>
        <w:t xml:space="preserve">rapport à la version d’avril 2020 jugée trop complexe : il mixte désormais </w:t>
      </w:r>
      <w:r w:rsidR="00362D0F" w:rsidRPr="00A42B98">
        <w:rPr>
          <w:rFonts w:ascii="Century Gothic" w:eastAsia="Times New Roman" w:hAnsi="Century Gothic" w:cs="Calibri"/>
          <w:color w:val="C00000"/>
          <w:lang w:eastAsia="fr-FR"/>
        </w:rPr>
        <w:t>l’</w:t>
      </w:r>
      <w:r w:rsidRPr="00A42B98">
        <w:rPr>
          <w:rFonts w:ascii="Century Gothic" w:eastAsia="Times New Roman" w:hAnsi="Century Gothic" w:cs="Calibri"/>
          <w:color w:val="C00000"/>
          <w:lang w:eastAsia="fr-FR"/>
        </w:rPr>
        <w:t xml:space="preserve">approche par </w:t>
      </w:r>
      <w:r w:rsidR="00362D0F" w:rsidRPr="00A42B98">
        <w:rPr>
          <w:rFonts w:ascii="Century Gothic" w:eastAsia="Times New Roman" w:hAnsi="Century Gothic" w:cs="Calibri"/>
          <w:color w:val="C00000"/>
          <w:lang w:eastAsia="fr-FR"/>
        </w:rPr>
        <w:t>nature de charge</w:t>
      </w:r>
      <w:r w:rsidR="0043234D" w:rsidRPr="00A42B98">
        <w:rPr>
          <w:rFonts w:ascii="Century Gothic" w:eastAsia="Times New Roman" w:hAnsi="Century Gothic" w:cs="Calibri"/>
          <w:color w:val="C00000"/>
          <w:lang w:eastAsia="fr-FR"/>
        </w:rPr>
        <w:t>s</w:t>
      </w:r>
      <w:r w:rsidR="00362D0F" w:rsidRPr="00A42B98">
        <w:rPr>
          <w:rFonts w:ascii="Century Gothic" w:eastAsia="Times New Roman" w:hAnsi="Century Gothic" w:cs="Calibri"/>
          <w:color w:val="C00000"/>
          <w:lang w:eastAsia="fr-FR"/>
        </w:rPr>
        <w:t xml:space="preserve"> et par activités </w:t>
      </w:r>
      <w:r w:rsidRPr="00A42B98">
        <w:rPr>
          <w:rFonts w:ascii="Century Gothic" w:eastAsia="Times New Roman" w:hAnsi="Century Gothic" w:cs="Calibri"/>
          <w:color w:val="C00000"/>
          <w:lang w:eastAsia="fr-FR"/>
        </w:rPr>
        <w:t>mais reste proche du plan comptable des associations. L’objectif est de faciliter l’échange entre l’OSC et l’AFD autour du projet.</w:t>
      </w:r>
    </w:p>
    <w:p w14:paraId="040F1B62" w14:textId="778AEFC0" w:rsidR="00B70253" w:rsidRPr="00A42B98" w:rsidRDefault="00B70253" w:rsidP="00776E6D">
      <w:pPr>
        <w:spacing w:after="0" w:line="276" w:lineRule="auto"/>
        <w:jc w:val="both"/>
        <w:rPr>
          <w:rFonts w:ascii="Century Gothic" w:eastAsia="Times New Roman" w:hAnsi="Century Gothic" w:cs="Calibri"/>
          <w:lang w:eastAsia="fr-FR"/>
        </w:rPr>
      </w:pPr>
    </w:p>
    <w:p w14:paraId="529A27A9" w14:textId="77777777" w:rsidR="00776E6D" w:rsidRPr="00A42B98" w:rsidRDefault="00776E6D" w:rsidP="00776E6D">
      <w:pPr>
        <w:spacing w:after="0" w:line="276" w:lineRule="auto"/>
        <w:jc w:val="both"/>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t xml:space="preserve">a) Remarques générales </w:t>
      </w:r>
    </w:p>
    <w:p w14:paraId="7EF06CE9"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688F23C6" w14:textId="1F801617"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 tableau budgétaire est le nom donné au document unique, sous format Excel, qui permet de rendre compte du budget détaillé du projet. Il est composé de </w:t>
      </w:r>
      <w:r w:rsidR="009B53E0" w:rsidRPr="00A42B98">
        <w:rPr>
          <w:rFonts w:ascii="Century Gothic" w:eastAsia="Times New Roman" w:hAnsi="Century Gothic" w:cs="Calibri"/>
          <w:lang w:eastAsia="fr-FR"/>
        </w:rPr>
        <w:t xml:space="preserve">sept </w:t>
      </w:r>
      <w:r w:rsidRPr="00A42B98">
        <w:rPr>
          <w:rFonts w:ascii="Century Gothic" w:eastAsia="Times New Roman" w:hAnsi="Century Gothic" w:cs="Calibri"/>
          <w:lang w:eastAsia="fr-FR"/>
        </w:rPr>
        <w:t>onglets :</w:t>
      </w:r>
    </w:p>
    <w:p w14:paraId="565C49F4" w14:textId="42C6F9A4"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dépenses », </w:t>
      </w:r>
    </w:p>
    <w:p w14:paraId="2D8E0C7A" w14:textId="73C76CAC"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ressources », </w:t>
      </w:r>
    </w:p>
    <w:p w14:paraId="3D81814F" w14:textId="38B62AA5"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valorisations », </w:t>
      </w:r>
    </w:p>
    <w:p w14:paraId="3F8EDD6C" w14:textId="0FDC416E" w:rsidR="009B53E0" w:rsidRPr="00790F8D" w:rsidRDefault="009B53E0" w:rsidP="003F5677">
      <w:pPr>
        <w:numPr>
          <w:ilvl w:val="0"/>
          <w:numId w:val="4"/>
        </w:numPr>
        <w:spacing w:after="0" w:line="276" w:lineRule="auto"/>
        <w:jc w:val="both"/>
        <w:rPr>
          <w:rFonts w:ascii="Century Gothic" w:eastAsia="Times New Roman" w:hAnsi="Century Gothic" w:cs="Calibri"/>
          <w:lang w:eastAsia="fr-FR"/>
        </w:rPr>
      </w:pPr>
      <w:r w:rsidRPr="00790F8D">
        <w:rPr>
          <w:rFonts w:ascii="Century Gothic" w:eastAsia="Times New Roman" w:hAnsi="Century Gothic" w:cs="Calibri"/>
          <w:lang w:eastAsia="fr-FR"/>
        </w:rPr>
        <w:t>L’onglet « </w:t>
      </w:r>
      <w:r w:rsidR="0043234D" w:rsidRPr="00790F8D">
        <w:rPr>
          <w:rFonts w:ascii="Century Gothic" w:eastAsia="Times New Roman" w:hAnsi="Century Gothic" w:cs="Calibri"/>
          <w:lang w:eastAsia="fr-FR"/>
        </w:rPr>
        <w:t>r</w:t>
      </w:r>
      <w:r w:rsidRPr="00790F8D">
        <w:rPr>
          <w:rFonts w:ascii="Century Gothic" w:eastAsia="Times New Roman" w:hAnsi="Century Gothic" w:cs="Calibri"/>
          <w:lang w:eastAsia="fr-FR"/>
        </w:rPr>
        <w:t>épartition RH »</w:t>
      </w:r>
    </w:p>
    <w:p w14:paraId="2C4A7723" w14:textId="50239475"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répartition des dépenses par pays » (uniquement pour les projets « terrain » impliquant plusieurs pays). </w:t>
      </w:r>
    </w:p>
    <w:p w14:paraId="01A74677" w14:textId="2C1DBA8A" w:rsidR="00C92A5F"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répartition des dépenses par objectifs »</w:t>
      </w:r>
    </w:p>
    <w:p w14:paraId="06C7EFE2" w14:textId="77777777" w:rsidR="003F5677" w:rsidRPr="00A42B98" w:rsidRDefault="003F5677" w:rsidP="003F5677">
      <w:pPr>
        <w:spacing w:after="0" w:line="276" w:lineRule="auto"/>
        <w:ind w:left="720"/>
        <w:jc w:val="both"/>
        <w:rPr>
          <w:rFonts w:ascii="Century Gothic" w:eastAsia="Times New Roman" w:hAnsi="Century Gothic" w:cs="Calibri"/>
          <w:lang w:eastAsia="fr-FR"/>
        </w:rPr>
      </w:pPr>
    </w:p>
    <w:p w14:paraId="4CAE30BC" w14:textId="37249025"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Ce tableau permet à l’OSC de rendre compte à DPA/OSC de la mise </w:t>
      </w:r>
      <w:r w:rsidR="007D4B4B" w:rsidRPr="00A42B98">
        <w:rPr>
          <w:rFonts w:ascii="Century Gothic" w:eastAsia="Times New Roman" w:hAnsi="Century Gothic" w:cs="Calibri"/>
          <w:lang w:eastAsia="fr-FR"/>
        </w:rPr>
        <w:t xml:space="preserve">en </w:t>
      </w:r>
      <w:r w:rsidRPr="00A42B98">
        <w:rPr>
          <w:rFonts w:ascii="Century Gothic" w:eastAsia="Times New Roman" w:hAnsi="Century Gothic" w:cs="Calibri"/>
          <w:lang w:eastAsia="fr-FR"/>
        </w:rPr>
        <w:t xml:space="preserve">œuvre du projet à trois </w:t>
      </w:r>
      <w:r w:rsidR="0043234D" w:rsidRPr="00A42B98">
        <w:rPr>
          <w:rFonts w:ascii="Century Gothic" w:eastAsia="Times New Roman" w:hAnsi="Century Gothic" w:cs="Calibri"/>
          <w:lang w:eastAsia="fr-FR"/>
        </w:rPr>
        <w:t xml:space="preserve">moments </w:t>
      </w:r>
      <w:r w:rsidRPr="00A42B98">
        <w:rPr>
          <w:rFonts w:ascii="Century Gothic" w:eastAsia="Times New Roman" w:hAnsi="Century Gothic" w:cs="Calibri"/>
          <w:lang w:eastAsia="fr-FR"/>
        </w:rPr>
        <w:t xml:space="preserve">différents : </w:t>
      </w:r>
    </w:p>
    <w:p w14:paraId="51908C9D"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316F4797" w14:textId="56462C43" w:rsidR="00776E6D" w:rsidRPr="00A42B98" w:rsidRDefault="00776E6D" w:rsidP="00F921F6">
      <w:pPr>
        <w:numPr>
          <w:ilvl w:val="0"/>
          <w:numId w:val="1"/>
        </w:numPr>
        <w:spacing w:after="0" w:line="276" w:lineRule="auto"/>
        <w:ind w:left="360"/>
        <w:jc w:val="both"/>
        <w:rPr>
          <w:rFonts w:ascii="Century Gothic" w:eastAsia="Times New Roman" w:hAnsi="Century Gothic" w:cs="Calibri"/>
          <w:u w:val="single"/>
          <w:lang w:eastAsia="fr-FR"/>
        </w:rPr>
      </w:pPr>
      <w:r w:rsidRPr="00A42B98">
        <w:rPr>
          <w:rFonts w:ascii="Century Gothic" w:eastAsia="Times New Roman" w:hAnsi="Century Gothic" w:cs="Calibri"/>
          <w:u w:val="single"/>
          <w:lang w:eastAsia="fr-FR"/>
        </w:rPr>
        <w:t>au moment du dépôt de la NIONG</w:t>
      </w:r>
      <w:r w:rsidRPr="00A42B98">
        <w:rPr>
          <w:rFonts w:ascii="Century Gothic" w:eastAsia="Times New Roman" w:hAnsi="Century Gothic" w:cs="Calibri"/>
          <w:lang w:eastAsia="fr-FR"/>
        </w:rPr>
        <w:t xml:space="preserve"> </w:t>
      </w:r>
      <w:r w:rsidRPr="00A4272E">
        <w:rPr>
          <w:rFonts w:ascii="Century Gothic" w:eastAsia="Times New Roman" w:hAnsi="Century Gothic" w:cs="Calibri"/>
          <w:b/>
          <w:lang w:eastAsia="fr-FR"/>
        </w:rPr>
        <w:t xml:space="preserve">→ budget prévisionnel avec les </w:t>
      </w:r>
      <w:r w:rsidR="009B53E0" w:rsidRPr="00A42B98">
        <w:rPr>
          <w:rFonts w:ascii="Century Gothic" w:eastAsia="Times New Roman" w:hAnsi="Century Gothic" w:cs="Calibri"/>
          <w:b/>
          <w:color w:val="FF0000"/>
          <w:lang w:eastAsia="fr-FR"/>
        </w:rPr>
        <w:t>6</w:t>
      </w:r>
      <w:r w:rsidR="009B53E0" w:rsidRPr="00A42B98">
        <w:rPr>
          <w:rFonts w:ascii="Century Gothic" w:eastAsia="Times New Roman" w:hAnsi="Century Gothic" w:cs="Calibri"/>
          <w:b/>
          <w:lang w:eastAsia="fr-FR"/>
        </w:rPr>
        <w:t xml:space="preserve"> </w:t>
      </w:r>
      <w:r w:rsidR="007D4B4B" w:rsidRPr="00A42B98">
        <w:rPr>
          <w:rFonts w:ascii="Century Gothic" w:eastAsia="Times New Roman" w:hAnsi="Century Gothic" w:cs="Calibri"/>
          <w:b/>
          <w:lang w:eastAsia="fr-FR"/>
        </w:rPr>
        <w:t xml:space="preserve"> </w:t>
      </w:r>
      <w:r w:rsidRPr="00A42B98">
        <w:rPr>
          <w:rFonts w:ascii="Century Gothic" w:eastAsia="Times New Roman" w:hAnsi="Century Gothic" w:cs="Calibri"/>
          <w:b/>
          <w:lang w:eastAsia="fr-FR"/>
        </w:rPr>
        <w:t>onglets</w:t>
      </w:r>
      <w:r w:rsidR="007D4B4B" w:rsidRPr="00A42B98">
        <w:rPr>
          <w:rFonts w:ascii="Century Gothic" w:eastAsia="Times New Roman" w:hAnsi="Century Gothic" w:cs="Calibri"/>
          <w:b/>
          <w:lang w:eastAsia="fr-FR"/>
        </w:rPr>
        <w:t xml:space="preserve"> complétés</w:t>
      </w:r>
      <w:r w:rsidRPr="00A42B98">
        <w:rPr>
          <w:rFonts w:ascii="Century Gothic" w:eastAsia="Times New Roman" w:hAnsi="Century Gothic" w:cs="Calibri"/>
          <w:b/>
          <w:lang w:eastAsia="fr-FR"/>
        </w:rPr>
        <w:t xml:space="preserve"> </w:t>
      </w:r>
      <w:r w:rsidR="00260FBF" w:rsidRPr="00A42B98">
        <w:rPr>
          <w:rFonts w:ascii="Century Gothic" w:eastAsia="Times New Roman" w:hAnsi="Century Gothic" w:cs="Calibri"/>
          <w:b/>
          <w:lang w:eastAsia="fr-FR"/>
        </w:rPr>
        <w:t>(</w:t>
      </w:r>
      <w:r w:rsidR="007D4B4B" w:rsidRPr="00A42B98">
        <w:rPr>
          <w:rFonts w:ascii="Century Gothic" w:eastAsia="Times New Roman" w:hAnsi="Century Gothic" w:cs="Calibri"/>
          <w:b/>
          <w:lang w:eastAsia="fr-FR"/>
        </w:rPr>
        <w:t xml:space="preserve">cf. </w:t>
      </w:r>
      <w:r w:rsidRPr="00A42B98">
        <w:rPr>
          <w:rFonts w:ascii="Century Gothic" w:eastAsia="Times New Roman" w:hAnsi="Century Gothic" w:cs="Calibri"/>
          <w:b/>
          <w:lang w:eastAsia="fr-FR"/>
        </w:rPr>
        <w:t>guide méthodologique)</w:t>
      </w:r>
    </w:p>
    <w:p w14:paraId="151A3C8E" w14:textId="77777777" w:rsidR="00776E6D" w:rsidRPr="00A42B98" w:rsidRDefault="00776E6D" w:rsidP="00260FBF">
      <w:pPr>
        <w:spacing w:after="0" w:line="276" w:lineRule="auto"/>
        <w:ind w:left="360"/>
        <w:jc w:val="both"/>
        <w:rPr>
          <w:rFonts w:ascii="Century Gothic" w:eastAsia="Times New Roman" w:hAnsi="Century Gothic" w:cs="Calibri"/>
          <w:b/>
          <w:bCs/>
          <w:u w:val="single"/>
          <w:lang w:eastAsia="fr-FR"/>
        </w:rPr>
      </w:pPr>
    </w:p>
    <w:p w14:paraId="2A91DF1E" w14:textId="08CC98DD" w:rsidR="00776E6D" w:rsidRPr="00A42B98" w:rsidRDefault="00776E6D" w:rsidP="00776E6D">
      <w:pPr>
        <w:numPr>
          <w:ilvl w:val="0"/>
          <w:numId w:val="1"/>
        </w:numPr>
        <w:spacing w:after="0" w:line="276" w:lineRule="auto"/>
        <w:ind w:left="360"/>
        <w:jc w:val="both"/>
        <w:rPr>
          <w:rFonts w:ascii="Century Gothic" w:eastAsia="Times New Roman" w:hAnsi="Century Gothic" w:cs="Calibri"/>
          <w:b/>
          <w:bCs/>
          <w:u w:val="single"/>
          <w:lang w:eastAsia="fr-FR"/>
        </w:rPr>
      </w:pPr>
      <w:r w:rsidRPr="00A42B98">
        <w:rPr>
          <w:rFonts w:ascii="Century Gothic" w:eastAsia="Times New Roman" w:hAnsi="Century Gothic" w:cs="Calibri"/>
          <w:u w:val="single"/>
          <w:lang w:eastAsia="fr-FR"/>
        </w:rPr>
        <w:t>au moment de l’envoi du compte-rendu technique et financier intermédiaire</w:t>
      </w:r>
      <w:r w:rsidRPr="00A42B98">
        <w:rPr>
          <w:rFonts w:ascii="Century Gothic" w:eastAsia="Times New Roman" w:hAnsi="Century Gothic" w:cs="Calibri"/>
          <w:lang w:eastAsia="fr-FR"/>
        </w:rPr>
        <w:t xml:space="preserve">  </w:t>
      </w:r>
      <w:r w:rsidRPr="00A4272E">
        <w:rPr>
          <w:rFonts w:ascii="Century Gothic" w:eastAsia="Times New Roman" w:hAnsi="Century Gothic" w:cs="Calibri"/>
          <w:b/>
          <w:lang w:eastAsia="fr-FR"/>
        </w:rPr>
        <w:t xml:space="preserve">→ compte-rendu financier intermédiaire, avec les </w:t>
      </w:r>
      <w:r w:rsidR="009B53E0" w:rsidRPr="00A4272E">
        <w:rPr>
          <w:rFonts w:ascii="Century Gothic" w:eastAsia="Times New Roman" w:hAnsi="Century Gothic" w:cs="Calibri"/>
          <w:b/>
          <w:lang w:eastAsia="fr-FR"/>
        </w:rPr>
        <w:t xml:space="preserve">4 </w:t>
      </w:r>
      <w:r w:rsidRPr="00A4272E">
        <w:rPr>
          <w:rFonts w:ascii="Century Gothic" w:eastAsia="Times New Roman" w:hAnsi="Century Gothic" w:cs="Calibri"/>
          <w:b/>
          <w:lang w:eastAsia="fr-FR"/>
        </w:rPr>
        <w:t>premiers onglets (« dépenses », « ressources », « valorisations »</w:t>
      </w:r>
      <w:r w:rsidR="009B53E0" w:rsidRPr="00A4272E">
        <w:rPr>
          <w:rFonts w:ascii="Century Gothic" w:eastAsia="Times New Roman" w:hAnsi="Century Gothic" w:cs="Calibri"/>
          <w:b/>
          <w:lang w:eastAsia="fr-FR"/>
        </w:rPr>
        <w:t xml:space="preserve">, </w:t>
      </w:r>
      <w:r w:rsidR="009B53E0" w:rsidRPr="00790F8D">
        <w:rPr>
          <w:rFonts w:ascii="Century Gothic" w:eastAsia="Times New Roman" w:hAnsi="Century Gothic" w:cs="Calibri"/>
          <w:b/>
          <w:lang w:eastAsia="fr-FR"/>
        </w:rPr>
        <w:t>« répartition RH »</w:t>
      </w:r>
      <w:r w:rsidRPr="00A4272E">
        <w:rPr>
          <w:rFonts w:ascii="Century Gothic" w:eastAsia="Times New Roman" w:hAnsi="Century Gothic" w:cs="Calibri"/>
          <w:b/>
          <w:lang w:eastAsia="fr-FR"/>
        </w:rPr>
        <w:t xml:space="preserve">) actualisés </w:t>
      </w:r>
      <w:r w:rsidRPr="00A42B98">
        <w:rPr>
          <w:rFonts w:ascii="Century Gothic" w:eastAsia="Times New Roman" w:hAnsi="Century Gothic" w:cs="Calibri"/>
          <w:b/>
          <w:lang w:eastAsia="fr-FR"/>
        </w:rPr>
        <w:t>(</w:t>
      </w:r>
      <w:r w:rsidR="007D4B4B" w:rsidRPr="00A42B98">
        <w:rPr>
          <w:rFonts w:ascii="Century Gothic" w:eastAsia="Times New Roman" w:hAnsi="Century Gothic" w:cs="Calibri"/>
          <w:b/>
          <w:lang w:eastAsia="fr-FR"/>
        </w:rPr>
        <w:t xml:space="preserve">cf. </w:t>
      </w:r>
      <w:r w:rsidRPr="00A42B98">
        <w:rPr>
          <w:rFonts w:ascii="Century Gothic" w:eastAsia="Times New Roman" w:hAnsi="Century Gothic" w:cs="Calibri"/>
          <w:b/>
          <w:lang w:eastAsia="fr-FR"/>
        </w:rPr>
        <w:t>guide méthodologique),</w:t>
      </w:r>
    </w:p>
    <w:p w14:paraId="392938F9" w14:textId="77777777" w:rsidR="00776E6D" w:rsidRPr="00A42B98" w:rsidRDefault="00776E6D" w:rsidP="00776E6D">
      <w:pPr>
        <w:spacing w:after="0" w:line="240" w:lineRule="auto"/>
        <w:ind w:left="720"/>
        <w:contextualSpacing/>
        <w:rPr>
          <w:rFonts w:ascii="Century Gothic" w:eastAsia="Cambria" w:hAnsi="Century Gothic" w:cs="Calibri"/>
          <w:b/>
          <w:bCs/>
          <w:u w:val="single"/>
        </w:rPr>
      </w:pPr>
    </w:p>
    <w:p w14:paraId="7D7B6F56" w14:textId="33533149" w:rsidR="00776E6D" w:rsidRPr="00A42B98" w:rsidRDefault="00776E6D" w:rsidP="00776E6D">
      <w:pPr>
        <w:numPr>
          <w:ilvl w:val="0"/>
          <w:numId w:val="1"/>
        </w:numPr>
        <w:spacing w:after="0" w:line="276" w:lineRule="auto"/>
        <w:ind w:left="360"/>
        <w:jc w:val="both"/>
        <w:rPr>
          <w:rFonts w:ascii="Century Gothic" w:eastAsia="Times New Roman" w:hAnsi="Century Gothic" w:cs="Calibri"/>
          <w:b/>
          <w:bCs/>
          <w:u w:val="single"/>
          <w:lang w:eastAsia="fr-FR"/>
        </w:rPr>
      </w:pPr>
      <w:r w:rsidRPr="00A42B98">
        <w:rPr>
          <w:rFonts w:ascii="Century Gothic" w:eastAsia="Times New Roman" w:hAnsi="Century Gothic" w:cs="Calibri"/>
          <w:u w:val="single"/>
          <w:lang w:eastAsia="fr-FR"/>
        </w:rPr>
        <w:t xml:space="preserve">à la fin du projet, au moment de l’envoi du compte-rendu technique et financier </w:t>
      </w:r>
      <w:r w:rsidRPr="00A4272E">
        <w:rPr>
          <w:rFonts w:ascii="Century Gothic" w:eastAsia="Times New Roman" w:hAnsi="Century Gothic" w:cs="Calibri"/>
          <w:u w:val="single"/>
          <w:lang w:eastAsia="fr-FR"/>
        </w:rPr>
        <w:t>final</w:t>
      </w:r>
      <w:r w:rsidRPr="00A4272E">
        <w:rPr>
          <w:rFonts w:ascii="Century Gothic" w:eastAsia="Times New Roman" w:hAnsi="Century Gothic" w:cs="Calibri"/>
          <w:lang w:eastAsia="fr-FR"/>
        </w:rPr>
        <w:t xml:space="preserve">  </w:t>
      </w:r>
      <w:r w:rsidRPr="00A4272E">
        <w:rPr>
          <w:rFonts w:ascii="Century Gothic" w:eastAsia="Times New Roman" w:hAnsi="Century Gothic" w:cs="Calibri"/>
          <w:b/>
          <w:lang w:eastAsia="fr-FR"/>
        </w:rPr>
        <w:t xml:space="preserve">→ compte-rendu financier final détaillé avec les </w:t>
      </w:r>
      <w:r w:rsidR="009B53E0" w:rsidRPr="00A4272E">
        <w:rPr>
          <w:rFonts w:ascii="Century Gothic" w:eastAsia="Times New Roman" w:hAnsi="Century Gothic" w:cs="Calibri"/>
          <w:b/>
          <w:lang w:eastAsia="fr-FR"/>
        </w:rPr>
        <w:t xml:space="preserve">5 </w:t>
      </w:r>
      <w:r w:rsidRPr="00A4272E">
        <w:rPr>
          <w:rFonts w:ascii="Century Gothic" w:eastAsia="Times New Roman" w:hAnsi="Century Gothic" w:cs="Calibri"/>
          <w:b/>
          <w:lang w:eastAsia="fr-FR"/>
        </w:rPr>
        <w:t xml:space="preserve">premiers onglets actualisés </w:t>
      </w:r>
      <w:r w:rsidRPr="00A42B98">
        <w:rPr>
          <w:rFonts w:ascii="Century Gothic" w:eastAsia="Times New Roman" w:hAnsi="Century Gothic" w:cs="Calibri"/>
          <w:b/>
          <w:lang w:eastAsia="fr-FR"/>
        </w:rPr>
        <w:t>(</w:t>
      </w:r>
      <w:r w:rsidR="007D4B4B" w:rsidRPr="00A42B98">
        <w:rPr>
          <w:rFonts w:ascii="Century Gothic" w:eastAsia="Times New Roman" w:hAnsi="Century Gothic" w:cs="Calibri"/>
          <w:b/>
          <w:lang w:eastAsia="fr-FR"/>
        </w:rPr>
        <w:t xml:space="preserve">cf. </w:t>
      </w:r>
      <w:r w:rsidRPr="00A42B98">
        <w:rPr>
          <w:rFonts w:ascii="Century Gothic" w:eastAsia="Times New Roman" w:hAnsi="Century Gothic" w:cs="Calibri"/>
          <w:b/>
          <w:lang w:eastAsia="fr-FR"/>
        </w:rPr>
        <w:t>guide méthodologique).</w:t>
      </w:r>
    </w:p>
    <w:p w14:paraId="036B3001" w14:textId="77777777" w:rsidR="00776E6D" w:rsidRPr="00A42B98" w:rsidRDefault="00776E6D" w:rsidP="00776E6D">
      <w:pPr>
        <w:spacing w:after="0" w:line="240" w:lineRule="auto"/>
        <w:rPr>
          <w:rFonts w:ascii="Century Gothic" w:eastAsia="Times New Roman" w:hAnsi="Century Gothic" w:cs="Calibri"/>
          <w:b/>
          <w:bCs/>
          <w:lang w:eastAsia="fr-FR"/>
        </w:rPr>
      </w:pPr>
      <w:r w:rsidRPr="00A42B98">
        <w:rPr>
          <w:rFonts w:ascii="Century Gothic" w:eastAsia="Times New Roman" w:hAnsi="Century Gothic" w:cs="Calibri"/>
          <w:b/>
          <w:bCs/>
          <w:color w:val="BC4542"/>
          <w:lang w:eastAsia="fr-FR"/>
        </w:rPr>
        <w:br w:type="page"/>
      </w:r>
    </w:p>
    <w:p w14:paraId="421D5048" w14:textId="77777777" w:rsidR="00776E6D" w:rsidRPr="00A42B98" w:rsidRDefault="00776E6D" w:rsidP="00776E6D">
      <w:pPr>
        <w:spacing w:after="0" w:line="276" w:lineRule="auto"/>
        <w:jc w:val="both"/>
        <w:rPr>
          <w:rFonts w:ascii="Century Gothic" w:eastAsia="Times New Roman" w:hAnsi="Century Gothic" w:cs="Calibri"/>
          <w:b/>
          <w:bCs/>
          <w:lang w:eastAsia="fr-FR"/>
        </w:rPr>
      </w:pPr>
    </w:p>
    <w:p w14:paraId="799DC3A7"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color w:val="4F81BD"/>
          <w:lang w:eastAsia="fr-FR"/>
        </w:rPr>
      </w:pPr>
      <w:r w:rsidRPr="00A42B98">
        <w:rPr>
          <w:rFonts w:ascii="Century Gothic" w:eastAsia="Times New Roman" w:hAnsi="Century Gothic" w:cs="Calibri"/>
          <w:bCs/>
          <w:color w:val="4F81BD"/>
          <w:lang w:eastAsia="fr-FR"/>
        </w:rPr>
        <w:t xml:space="preserve">L’OSC doit indiquer dans le tableau budgétaire la durée de chaque tranche (nombre de mois). </w:t>
      </w:r>
    </w:p>
    <w:p w14:paraId="3467D448"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eastAsia="fr-FR"/>
        </w:rPr>
      </w:pPr>
      <w:r w:rsidRPr="00A42B98">
        <w:rPr>
          <w:rFonts w:ascii="Century Gothic" w:eastAsia="Times New Roman" w:hAnsi="Century Gothic" w:cs="Calibri"/>
          <w:bCs/>
          <w:color w:val="4F81BD"/>
          <w:lang w:eastAsia="fr-FR"/>
        </w:rPr>
        <w:t>Le budget doit toujours reprendre l’ensemble des éléments transmis et validés par DPA/OSC dans la précédente version (données de la convention de financement initiale, du/des avenant(s) éventuel(s) et des ANO confirmés par DPA/OSC). Un suivi du projet / programme par l’OSC doit lui permettre d’identifier et d’anticiper autant que possible d’éventuels écarts dans les principales rubriques, devant faire l’objet d’une demande d’ANO sans attendre la finalisation des comptes rendus intermédiaire ou final.</w:t>
      </w:r>
    </w:p>
    <w:p w14:paraId="0E479651"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2F085369" w14:textId="5D1CF575" w:rsidR="003A0D3E" w:rsidRPr="00A42B9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 xml:space="preserve">A chaque étape (NIONG, comptes rendus intermédiaire et final), l’OSC transmet via le Portail </w:t>
      </w:r>
      <w:r w:rsidR="007D4B4B" w:rsidRPr="00A42B98">
        <w:rPr>
          <w:rFonts w:ascii="Century Gothic" w:eastAsia="Times New Roman" w:hAnsi="Century Gothic" w:cs="Calibri"/>
          <w:color w:val="4F81BD"/>
          <w:lang w:eastAsia="fr-FR"/>
        </w:rPr>
        <w:t xml:space="preserve">OSCar </w:t>
      </w:r>
      <w:r w:rsidRPr="00A42B98">
        <w:rPr>
          <w:rFonts w:ascii="Century Gothic" w:eastAsia="Times New Roman" w:hAnsi="Century Gothic" w:cs="Calibri"/>
          <w:color w:val="4F81BD"/>
          <w:lang w:eastAsia="fr-FR"/>
        </w:rPr>
        <w:t xml:space="preserve">à DPA/OSC la version </w:t>
      </w:r>
      <w:r w:rsidR="00B856B1" w:rsidRPr="00A42B98">
        <w:rPr>
          <w:rFonts w:ascii="Century Gothic" w:eastAsia="Times New Roman" w:hAnsi="Century Gothic" w:cs="Calibri"/>
          <w:color w:val="4F81BD"/>
          <w:lang w:eastAsia="fr-FR"/>
        </w:rPr>
        <w:t>Excel</w:t>
      </w:r>
      <w:r w:rsidRPr="00A42B98">
        <w:rPr>
          <w:rFonts w:ascii="Century Gothic" w:eastAsia="Times New Roman" w:hAnsi="Century Gothic" w:cs="Calibri"/>
          <w:color w:val="4F81BD"/>
          <w:lang w:eastAsia="fr-FR"/>
        </w:rPr>
        <w:t xml:space="preserve"> du tableau budgétaire</w:t>
      </w:r>
      <w:r w:rsidR="00C478AA" w:rsidRPr="00A42B98">
        <w:rPr>
          <w:rFonts w:ascii="Century Gothic" w:eastAsia="Times New Roman" w:hAnsi="Century Gothic" w:cs="Calibri"/>
          <w:color w:val="4F81BD"/>
          <w:lang w:eastAsia="fr-FR"/>
        </w:rPr>
        <w:t xml:space="preserve"> signé</w:t>
      </w:r>
      <w:r w:rsidRPr="00A42B98">
        <w:rPr>
          <w:rFonts w:ascii="Century Gothic" w:eastAsia="Times New Roman" w:hAnsi="Century Gothic" w:cs="Calibri"/>
          <w:color w:val="4F81BD"/>
          <w:lang w:eastAsia="fr-FR"/>
        </w:rPr>
        <w:t xml:space="preserve"> sur laquelle seront indiqués</w:t>
      </w:r>
      <w:r w:rsidR="00C478AA" w:rsidRPr="00A42B98">
        <w:rPr>
          <w:rFonts w:ascii="Century Gothic" w:eastAsia="Times New Roman" w:hAnsi="Century Gothic" w:cs="Calibri"/>
          <w:color w:val="4F81BD"/>
          <w:lang w:eastAsia="fr-FR"/>
        </w:rPr>
        <w:t xml:space="preserve"> la date de validation, le nom et la fonction</w:t>
      </w:r>
      <w:r w:rsidRPr="00A42B98">
        <w:rPr>
          <w:rFonts w:ascii="Century Gothic" w:eastAsia="Times New Roman" w:hAnsi="Century Gothic" w:cs="Calibri"/>
          <w:color w:val="4F81BD"/>
          <w:lang w:eastAsia="fr-FR"/>
        </w:rPr>
        <w:t xml:space="preserve"> de la personne habilitée à valider (nom et fonction en toutes lettres), portant le logo de l’association ainsi que le numéro de projet lorsqu’il est attribué. Si la personne validant le tableau budgétaire n’est pas sur la liste des personnes habilitées à signer la convention de financement et/ou les demandes de versement, il convient de joindre la décision d’habilitation du nouveau signataire, le spécimen original de sa signature ainsi qu’une copie de sa pièce d’identité.</w:t>
      </w:r>
    </w:p>
    <w:p w14:paraId="7EE0D2DF" w14:textId="77777777" w:rsidR="003A0D3E" w:rsidRPr="00A42B9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1C7618E5" w14:textId="77777777" w:rsidR="00776E6D" w:rsidRPr="00A42B98" w:rsidRDefault="00776E6D" w:rsidP="00776E6D">
      <w:pPr>
        <w:spacing w:after="0" w:line="276" w:lineRule="auto"/>
        <w:jc w:val="both"/>
        <w:rPr>
          <w:rFonts w:ascii="Century Gothic" w:eastAsia="Times New Roman" w:hAnsi="Century Gothic" w:cs="Calibri"/>
          <w:b/>
          <w:lang w:eastAsia="fr-FR"/>
        </w:rPr>
      </w:pPr>
    </w:p>
    <w:p w14:paraId="79A5CBCD"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688863AB" w14:textId="77777777" w:rsidR="00776E6D" w:rsidRPr="00A42B98" w:rsidRDefault="00776E6D" w:rsidP="00776E6D">
      <w:pPr>
        <w:keepNext/>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 code couleur des colonnes à respecter sous Excel est le suivant :</w:t>
      </w:r>
    </w:p>
    <w:p w14:paraId="53647C0C" w14:textId="77777777" w:rsidR="00776E6D" w:rsidRPr="00A42B98" w:rsidRDefault="00776E6D" w:rsidP="00776E6D">
      <w:pPr>
        <w:keepNext/>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b/>
          <w:lang w:eastAsia="fr-FR"/>
        </w:rPr>
        <w:t>jaune</w:t>
      </w:r>
      <w:r w:rsidRPr="00A42B98">
        <w:rPr>
          <w:rFonts w:ascii="Century Gothic" w:eastAsia="Times New Roman" w:hAnsi="Century Gothic" w:cs="Calibri"/>
          <w:lang w:eastAsia="fr-FR"/>
        </w:rPr>
        <w:t xml:space="preserve"> pour les dépenses / ressources prévisionnelles (convention de financement), </w:t>
      </w:r>
    </w:p>
    <w:p w14:paraId="50F7CBE6"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b/>
          <w:lang w:eastAsia="fr-FR"/>
        </w:rPr>
        <w:t>orange</w:t>
      </w:r>
      <w:r w:rsidRPr="00A42B98">
        <w:rPr>
          <w:rFonts w:ascii="Century Gothic" w:eastAsia="Times New Roman" w:hAnsi="Century Gothic" w:cs="Calibri"/>
          <w:lang w:eastAsia="fr-FR"/>
        </w:rPr>
        <w:t xml:space="preserve"> pour les dépenses / ressources révisées, </w:t>
      </w:r>
    </w:p>
    <w:p w14:paraId="4D5613D7"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b/>
          <w:lang w:eastAsia="fr-FR"/>
        </w:rPr>
        <w:t>rose</w:t>
      </w:r>
      <w:r w:rsidRPr="00A42B98">
        <w:rPr>
          <w:rFonts w:ascii="Century Gothic" w:eastAsia="Times New Roman" w:hAnsi="Century Gothic" w:cs="Calibri"/>
          <w:lang w:eastAsia="fr-FR"/>
        </w:rPr>
        <w:t xml:space="preserve"> pour les dépenses / ressources réalisées et consommées, </w:t>
      </w:r>
    </w:p>
    <w:p w14:paraId="7A43FE69"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b/>
          <w:lang w:eastAsia="fr-FR"/>
        </w:rPr>
        <w:t>blanc</w:t>
      </w:r>
      <w:r w:rsidRPr="00A42B98">
        <w:rPr>
          <w:rFonts w:ascii="Century Gothic" w:eastAsia="Times New Roman" w:hAnsi="Century Gothic" w:cs="Calibri"/>
          <w:lang w:eastAsia="fr-FR"/>
        </w:rPr>
        <w:t xml:space="preserve"> pour les variations.</w:t>
      </w:r>
    </w:p>
    <w:p w14:paraId="1D840426"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48124928"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008D6E4F"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
          <w:bCs/>
          <w:color w:val="4F81BD"/>
          <w:lang w:eastAsia="fr-FR"/>
        </w:rPr>
      </w:pPr>
      <w:r w:rsidRPr="00A42B98">
        <w:rPr>
          <w:rFonts w:ascii="Century Gothic" w:eastAsia="Times New Roman" w:hAnsi="Century Gothic" w:cs="Calibri"/>
          <w:bCs/>
          <w:color w:val="4F81BD"/>
          <w:lang w:eastAsia="fr-FR"/>
        </w:rPr>
        <w:t>Le tableau budgétaire comporte des formules destinées à aider l’OSC (le calcul automatique est signalé dans les titres des colonnes) ; il est cependant toujours nécessaire de vérifier la cohérence et la concordance des données. Chaque projet est unique et est susceptible de présenter des cas spécifiques, qu’il convient d’expliquer. Un tableau, seul, ne peut pas toujours suffire, il convient donc de l’accompagner, si besoin est, d’une note explicative.</w:t>
      </w:r>
    </w:p>
    <w:p w14:paraId="4CCD79F5" w14:textId="77777777" w:rsidR="00776E6D" w:rsidRPr="00A42B98" w:rsidRDefault="00776E6D" w:rsidP="00776E6D">
      <w:pPr>
        <w:spacing w:after="0" w:line="276" w:lineRule="auto"/>
        <w:jc w:val="both"/>
        <w:rPr>
          <w:rFonts w:ascii="Century Gothic" w:eastAsia="Times New Roman" w:hAnsi="Century Gothic" w:cs="Calibri"/>
          <w:b/>
          <w:lang w:eastAsia="fr-FR"/>
        </w:rPr>
      </w:pPr>
    </w:p>
    <w:p w14:paraId="644183B5" w14:textId="39C6C531" w:rsidR="00776E6D" w:rsidRPr="00A42B98" w:rsidRDefault="00776E6D" w:rsidP="00776E6D">
      <w:pPr>
        <w:spacing w:after="0" w:line="276" w:lineRule="auto"/>
        <w:ind w:left="720"/>
        <w:contextualSpacing/>
        <w:rPr>
          <w:rFonts w:ascii="Century Gothic" w:eastAsia="Cambria" w:hAnsi="Century Gothic" w:cs="Calibri"/>
        </w:rPr>
      </w:pPr>
    </w:p>
    <w:p w14:paraId="4066AE91" w14:textId="77777777" w:rsidR="00776E6D" w:rsidRPr="00A42B98" w:rsidRDefault="00776E6D" w:rsidP="00776E6D">
      <w:pPr>
        <w:keepNext/>
        <w:spacing w:after="0" w:line="240" w:lineRule="auto"/>
        <w:rPr>
          <w:rFonts w:ascii="Century Gothic" w:eastAsia="Times New Roman" w:hAnsi="Century Gothic" w:cs="Calibri"/>
          <w:b/>
          <w:caps/>
          <w:u w:val="single"/>
          <w:lang w:eastAsia="fr-FR"/>
        </w:rPr>
      </w:pPr>
      <w:r w:rsidRPr="00A42B98">
        <w:rPr>
          <w:rFonts w:ascii="Century Gothic" w:eastAsia="Times New Roman" w:hAnsi="Century Gothic" w:cs="Calibri"/>
          <w:b/>
          <w:u w:val="single"/>
          <w:lang w:eastAsia="fr-FR"/>
        </w:rPr>
        <w:lastRenderedPageBreak/>
        <w:t>1) L’onglet « dépenses »</w:t>
      </w:r>
      <w:r w:rsidRPr="00A42B98">
        <w:rPr>
          <w:rFonts w:ascii="Century Gothic" w:eastAsia="Times New Roman" w:hAnsi="Century Gothic" w:cs="Calibri"/>
          <w:b/>
          <w:lang w:eastAsia="fr-FR"/>
        </w:rPr>
        <w:t xml:space="preserve">  </w:t>
      </w:r>
    </w:p>
    <w:p w14:paraId="3E43B529" w14:textId="77777777" w:rsidR="00776E6D" w:rsidRPr="00A42B98" w:rsidRDefault="00776E6D" w:rsidP="00776E6D">
      <w:pPr>
        <w:keepNext/>
        <w:spacing w:after="0" w:line="276" w:lineRule="auto"/>
        <w:jc w:val="both"/>
        <w:rPr>
          <w:rFonts w:ascii="Century Gothic" w:eastAsia="Times New Roman" w:hAnsi="Century Gothic" w:cs="Calibri"/>
          <w:b/>
          <w:lang w:eastAsia="fr-FR"/>
        </w:rPr>
      </w:pPr>
    </w:p>
    <w:p w14:paraId="4689C07C" w14:textId="77777777" w:rsidR="00776E6D" w:rsidRPr="00A42B98" w:rsidRDefault="00776E6D" w:rsidP="00776E6D">
      <w:pPr>
        <w:keepNext/>
        <w:spacing w:after="0" w:line="276" w:lineRule="auto"/>
        <w:jc w:val="both"/>
        <w:rPr>
          <w:rFonts w:ascii="Century Gothic" w:eastAsia="Times New Roman" w:hAnsi="Century Gothic" w:cs="Calibri"/>
          <w:b/>
          <w:lang w:eastAsia="fr-FR"/>
        </w:rPr>
      </w:pPr>
      <w:r w:rsidRPr="00A42B98">
        <w:rPr>
          <w:rFonts w:ascii="Century Gothic" w:eastAsia="Times New Roman" w:hAnsi="Century Gothic" w:cs="Calibri"/>
          <w:b/>
          <w:u w:val="single"/>
          <w:lang w:eastAsia="fr-FR"/>
        </w:rPr>
        <w:t>Remarques générales</w:t>
      </w:r>
    </w:p>
    <w:p w14:paraId="6D9A13D9" w14:textId="4171FFF1" w:rsidR="00D51C7A" w:rsidRPr="00A42B98" w:rsidRDefault="00776E6D" w:rsidP="0066130C">
      <w:pPr>
        <w:keepNext/>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Il convient de vérifier que les totaux des dépenses sont égaux, à l'euro près, aux totaux des ressources correspondants </w:t>
      </w:r>
      <w:r w:rsidR="00D00C10" w:rsidRPr="00A42B98">
        <w:rPr>
          <w:rFonts w:ascii="Century Gothic" w:eastAsia="Times New Roman" w:hAnsi="Century Gothic" w:cs="Calibri"/>
          <w:lang w:eastAsia="fr-FR"/>
        </w:rPr>
        <w:t>(cf. Formule de contrôle du tableau budgétaire pour le total général</w:t>
      </w:r>
      <w:r w:rsidR="007D4B4B" w:rsidRPr="00A42B98">
        <w:rPr>
          <w:rFonts w:ascii="Century Gothic" w:eastAsia="Times New Roman" w:hAnsi="Century Gothic" w:cs="Calibri"/>
          <w:lang w:eastAsia="fr-FR"/>
        </w:rPr>
        <w:t>),</w:t>
      </w:r>
    </w:p>
    <w:p w14:paraId="728E0663" w14:textId="284B58CA" w:rsidR="00776E6D" w:rsidRPr="00A42B98" w:rsidRDefault="00776E6D" w:rsidP="0066130C">
      <w:pPr>
        <w:keepNext/>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chiffres doivent être entiers, </w:t>
      </w:r>
      <w:r w:rsidRPr="00A42B98">
        <w:rPr>
          <w:rFonts w:ascii="Century Gothic" w:eastAsia="Times New Roman" w:hAnsi="Century Gothic" w:cs="Calibri"/>
          <w:u w:val="single"/>
          <w:lang w:eastAsia="fr-FR"/>
        </w:rPr>
        <w:t>sans décimale</w:t>
      </w:r>
      <w:r w:rsidRPr="00A42B98">
        <w:rPr>
          <w:rFonts w:ascii="Century Gothic" w:eastAsia="Times New Roman" w:hAnsi="Century Gothic" w:cs="Calibri"/>
          <w:lang w:eastAsia="fr-FR"/>
        </w:rPr>
        <w:t xml:space="preserve">, </w:t>
      </w:r>
    </w:p>
    <w:p w14:paraId="4D97FC4D" w14:textId="469AEEB1"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formules proposées et les intitulés de colonnes </w:t>
      </w:r>
      <w:r w:rsidRPr="00A42B98">
        <w:rPr>
          <w:rFonts w:ascii="Century Gothic" w:eastAsia="Times New Roman" w:hAnsi="Century Gothic" w:cs="Calibri"/>
          <w:u w:val="single"/>
          <w:lang w:eastAsia="fr-FR"/>
        </w:rPr>
        <w:t>ne doivent être en aucun cas modifiés</w:t>
      </w:r>
      <w:r w:rsidR="009B53E0" w:rsidRPr="00A42B98">
        <w:rPr>
          <w:rFonts w:ascii="Century Gothic" w:eastAsia="Times New Roman" w:hAnsi="Century Gothic" w:cs="Calibri"/>
          <w:u w:val="single"/>
          <w:lang w:eastAsia="fr-FR"/>
        </w:rPr>
        <w:t>,</w:t>
      </w:r>
      <w:r w:rsidR="009B53E0" w:rsidRPr="00A42B98">
        <w:rPr>
          <w:rFonts w:ascii="Century Gothic" w:eastAsia="Times New Roman" w:hAnsi="Century Gothic" w:cs="Calibri"/>
          <w:lang w:eastAsia="fr-FR"/>
        </w:rPr>
        <w:t xml:space="preserve"> sauf en cas de révision budgétaire</w:t>
      </w:r>
      <w:r w:rsidRPr="00A42B98">
        <w:rPr>
          <w:rFonts w:ascii="Century Gothic" w:eastAsia="Times New Roman" w:hAnsi="Century Gothic" w:cs="Calibri"/>
          <w:lang w:eastAsia="fr-FR"/>
        </w:rPr>
        <w:t xml:space="preserve">, </w:t>
      </w:r>
    </w:p>
    <w:p w14:paraId="5AB6E505" w14:textId="77777777"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Ne pas mettre de 0 si la dépense est inexistante, laisser la cellule vide, </w:t>
      </w:r>
    </w:p>
    <w:p w14:paraId="357CE2DC" w14:textId="77777777"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dépenses doivent apparaitre uniquement en euros. Dans le cas où une dépense éligible du projet serait réalisée dans une autre monnaie que l’euro, l’OSC convertira le montant de la facture en euros en appliquant une règle de conversion de son choix en respectant les conditions suivantes :</w:t>
      </w:r>
    </w:p>
    <w:p w14:paraId="1317D6EF" w14:textId="45BC5C25" w:rsidR="00776E6D" w:rsidRPr="00A42B98" w:rsidRDefault="003F5677" w:rsidP="003F5677">
      <w:pPr>
        <w:numPr>
          <w:ilvl w:val="0"/>
          <w:numId w:val="5"/>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Il</w:t>
      </w:r>
      <w:r w:rsidR="00776E6D" w:rsidRPr="00A42B98">
        <w:rPr>
          <w:rFonts w:ascii="Century Gothic" w:eastAsia="Times New Roman" w:hAnsi="Century Gothic" w:cs="Calibri"/>
          <w:lang w:eastAsia="fr-FR"/>
        </w:rPr>
        <w:t xml:space="preserve"> s’agit d’une règle comptable écrite correspondant à une pratique standard de l’OSC, </w:t>
      </w:r>
    </w:p>
    <w:p w14:paraId="149D4D78" w14:textId="60EC41E3" w:rsidR="00776E6D" w:rsidRPr="00A42B98" w:rsidRDefault="003F5677" w:rsidP="003F5677">
      <w:pPr>
        <w:numPr>
          <w:ilvl w:val="0"/>
          <w:numId w:val="5"/>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Cette règle est appliquée de manière constante</w:t>
      </w:r>
      <w:r w:rsidR="00776E6D" w:rsidRPr="00A42B98">
        <w:rPr>
          <w:rFonts w:ascii="Century Gothic" w:eastAsia="Times New Roman" w:hAnsi="Century Gothic" w:cs="Calibri"/>
          <w:lang w:eastAsia="fr-FR"/>
        </w:rPr>
        <w:t xml:space="preserve"> pendant le projet, </w:t>
      </w:r>
    </w:p>
    <w:p w14:paraId="71B1A25F" w14:textId="63C409DB" w:rsidR="00776E6D" w:rsidRPr="00A42B98" w:rsidRDefault="003F5677" w:rsidP="003F5677">
      <w:pPr>
        <w:numPr>
          <w:ilvl w:val="0"/>
          <w:numId w:val="5"/>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Cette</w:t>
      </w:r>
      <w:r w:rsidR="00776E6D" w:rsidRPr="00A42B98">
        <w:rPr>
          <w:rFonts w:ascii="Century Gothic" w:eastAsia="Times New Roman" w:hAnsi="Century Gothic" w:cs="Calibri"/>
          <w:lang w:eastAsia="fr-FR"/>
        </w:rPr>
        <w:t xml:space="preserve"> règle est appliquée à tous les types de transactions ainsi qu’à toutes les sources de financement.</w:t>
      </w:r>
    </w:p>
    <w:p w14:paraId="46AF160A" w14:textId="77777777" w:rsidR="00776E6D" w:rsidRPr="00A42B98" w:rsidRDefault="00776E6D" w:rsidP="00776E6D">
      <w:pPr>
        <w:tabs>
          <w:tab w:val="left" w:pos="567"/>
        </w:tabs>
        <w:spacing w:after="0" w:line="276" w:lineRule="auto"/>
        <w:jc w:val="both"/>
        <w:rPr>
          <w:rFonts w:ascii="Century Gothic" w:eastAsia="Times New Roman" w:hAnsi="Century Gothic" w:cs="Calibri"/>
          <w:b/>
          <w:lang w:eastAsia="fr-FR"/>
        </w:rPr>
      </w:pPr>
    </w:p>
    <w:p w14:paraId="45ED5D77" w14:textId="77777777" w:rsidR="00776E6D" w:rsidRPr="00A42B98" w:rsidRDefault="00776E6D" w:rsidP="00776E6D">
      <w:pPr>
        <w:spacing w:after="0" w:line="276" w:lineRule="auto"/>
        <w:jc w:val="both"/>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t xml:space="preserve">Les rubriques  </w:t>
      </w:r>
    </w:p>
    <w:p w14:paraId="3E278449" w14:textId="77777777"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 contenu de la colonne « Types de dépenses » doit correspondre à celui du budget global annexé à la convention de financement sauf en cas de nouvelles lignes de dépenses apparues en cours d’exécution qu’il convient alors d’ajouter. </w:t>
      </w:r>
    </w:p>
    <w:p w14:paraId="0D0AA722" w14:textId="16717A55"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Une seule ligne est prévue pour </w:t>
      </w:r>
      <w:r w:rsidR="00551512" w:rsidRPr="00A42B98">
        <w:rPr>
          <w:rFonts w:ascii="Century Gothic" w:eastAsia="Times New Roman" w:hAnsi="Century Gothic" w:cs="Calibri"/>
          <w:lang w:eastAsia="fr-FR"/>
        </w:rPr>
        <w:t xml:space="preserve">la </w:t>
      </w:r>
      <w:r w:rsidRPr="00A42B98">
        <w:rPr>
          <w:rFonts w:ascii="Century Gothic" w:eastAsia="Times New Roman" w:hAnsi="Century Gothic" w:cs="Calibri"/>
          <w:lang w:eastAsia="fr-FR"/>
        </w:rPr>
        <w:t>sous rubrique « évaluation externe » qui renvoi</w:t>
      </w:r>
      <w:r w:rsidR="003D40ED">
        <w:rPr>
          <w:rFonts w:ascii="Century Gothic" w:eastAsia="Times New Roman" w:hAnsi="Century Gothic" w:cs="Calibri"/>
          <w:lang w:eastAsia="fr-FR"/>
        </w:rPr>
        <w:t>e</w:t>
      </w:r>
      <w:r w:rsidRPr="00A42B98">
        <w:rPr>
          <w:rFonts w:ascii="Century Gothic" w:eastAsia="Times New Roman" w:hAnsi="Century Gothic" w:cs="Calibri"/>
          <w:lang w:eastAsia="fr-FR"/>
        </w:rPr>
        <w:t xml:space="preserve"> à </w:t>
      </w:r>
      <w:r w:rsidR="00551512" w:rsidRPr="00A42B98">
        <w:rPr>
          <w:rFonts w:ascii="Century Gothic" w:eastAsia="Times New Roman" w:hAnsi="Century Gothic" w:cs="Calibri"/>
          <w:lang w:eastAsia="fr-FR"/>
        </w:rPr>
        <w:t xml:space="preserve">une </w:t>
      </w:r>
      <w:r w:rsidRPr="00A42B98">
        <w:rPr>
          <w:rFonts w:ascii="Century Gothic" w:eastAsia="Times New Roman" w:hAnsi="Century Gothic" w:cs="Calibri"/>
          <w:lang w:eastAsia="fr-FR"/>
        </w:rPr>
        <w:t>prestation spécifique prédéfinie, exigée dans certains cas par l’AFD.</w:t>
      </w:r>
    </w:p>
    <w:p w14:paraId="787EC76D" w14:textId="6E148F82" w:rsidR="00551512" w:rsidRPr="00790F8D" w:rsidRDefault="00551512" w:rsidP="00776E6D">
      <w:pPr>
        <w:numPr>
          <w:ilvl w:val="0"/>
          <w:numId w:val="2"/>
        </w:numPr>
        <w:spacing w:after="0" w:line="276" w:lineRule="auto"/>
        <w:jc w:val="both"/>
        <w:rPr>
          <w:rFonts w:ascii="Century Gothic" w:eastAsia="Times New Roman" w:hAnsi="Century Gothic" w:cs="Calibri"/>
          <w:lang w:eastAsia="fr-FR"/>
        </w:rPr>
      </w:pPr>
      <w:r w:rsidRPr="00790F8D">
        <w:rPr>
          <w:rFonts w:ascii="Century Gothic" w:eastAsia="Times New Roman" w:hAnsi="Century Gothic" w:cs="Calibri"/>
          <w:lang w:eastAsia="fr-FR"/>
        </w:rPr>
        <w:t>Une seule ligne est également prévue pour la sous rubrique « audit externe », celui-ci étant à présent obligatoire sur tous les projets quel que soit le montant de la subvention AFD.</w:t>
      </w:r>
    </w:p>
    <w:p w14:paraId="6CBA892F" w14:textId="7757A2AA"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La colonne « mode de calcul » doit être renseignée de manière à indiquer les éléments pris en compte pour le chiffrage (coûts unitaires x nombres d’unités). Il est demandé d</w:t>
      </w:r>
      <w:r w:rsidR="00551512" w:rsidRPr="00A42B98">
        <w:rPr>
          <w:rFonts w:ascii="Century Gothic" w:eastAsia="Times New Roman" w:hAnsi="Century Gothic" w:cs="Calibri"/>
          <w:lang w:eastAsia="fr-FR"/>
        </w:rPr>
        <w:t xml:space="preserve">e clairement </w:t>
      </w:r>
      <w:r w:rsidRPr="00A42B98">
        <w:rPr>
          <w:rFonts w:ascii="Century Gothic" w:eastAsia="Times New Roman" w:hAnsi="Century Gothic" w:cs="Calibri"/>
          <w:lang w:eastAsia="fr-FR"/>
        </w:rPr>
        <w:t>indiquer ici les montants correspondant à de la valorisation.</w:t>
      </w:r>
    </w:p>
    <w:p w14:paraId="4B2DB501" w14:textId="4E392BA1"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72E">
        <w:rPr>
          <w:rFonts w:ascii="Century Gothic" w:eastAsia="Times New Roman" w:hAnsi="Century Gothic" w:cs="Calibri"/>
          <w:b/>
          <w:i/>
          <w:lang w:eastAsia="fr-FR"/>
        </w:rPr>
        <w:t>La ligne « Divers et imprévus »</w:t>
      </w:r>
      <w:r w:rsidRPr="00A4272E">
        <w:rPr>
          <w:rFonts w:ascii="Century Gothic" w:eastAsia="Times New Roman" w:hAnsi="Century Gothic" w:cs="Calibri"/>
          <w:lang w:eastAsia="fr-FR"/>
        </w:rPr>
        <w:t> </w:t>
      </w:r>
      <w:r w:rsidRPr="00A42B98">
        <w:rPr>
          <w:rFonts w:ascii="Century Gothic" w:eastAsia="Times New Roman" w:hAnsi="Century Gothic" w:cs="Calibri"/>
          <w:lang w:eastAsia="fr-FR"/>
        </w:rPr>
        <w:t>n’est pas une rubrique mais un montant optionnel calculable sur</w:t>
      </w:r>
      <w:r w:rsidR="003F5677" w:rsidRPr="00A42B98">
        <w:rPr>
          <w:rFonts w:ascii="Century Gothic" w:eastAsia="Times New Roman" w:hAnsi="Century Gothic" w:cs="Calibri"/>
          <w:lang w:eastAsia="fr-FR"/>
        </w:rPr>
        <w:t xml:space="preserve"> la base de 5% </w:t>
      </w:r>
      <w:r w:rsidR="00551512" w:rsidRPr="00A42B98">
        <w:rPr>
          <w:rFonts w:ascii="Century Gothic" w:eastAsia="Times New Roman" w:hAnsi="Century Gothic" w:cs="Calibri"/>
          <w:lang w:eastAsia="fr-FR"/>
        </w:rPr>
        <w:t>du montant totaldes coûts directs</w:t>
      </w:r>
      <w:r w:rsidRPr="00A42B98">
        <w:rPr>
          <w:rFonts w:ascii="Century Gothic" w:eastAsia="Times New Roman" w:hAnsi="Century Gothic" w:cs="Calibri"/>
          <w:lang w:eastAsia="fr-FR"/>
        </w:rPr>
        <w:t>. Un ANO n’est pas systématiquement nécessaire pour imputer des dépenses sur cette ligne. En revanche, si au cours du projet le montant prévu sur cette ligne est alloué à une autre rubrique de dépenses alors un ANO sera nécessaire. Dans tous les cas, la justification des dépenses sera effectuée sur justificatifs des frais réels.</w:t>
      </w:r>
    </w:p>
    <w:p w14:paraId="7D812934" w14:textId="74C4855C" w:rsidR="0043234D" w:rsidRPr="00A42B98" w:rsidRDefault="00776E6D" w:rsidP="0043234D">
      <w:pPr>
        <w:numPr>
          <w:ilvl w:val="0"/>
          <w:numId w:val="2"/>
        </w:numPr>
        <w:spacing w:after="0" w:line="276" w:lineRule="auto"/>
        <w:jc w:val="both"/>
        <w:rPr>
          <w:rFonts w:ascii="Century Gothic" w:eastAsia="Times New Roman" w:hAnsi="Century Gothic" w:cs="Calibri"/>
          <w:color w:val="C00000"/>
          <w:lang w:eastAsia="fr-FR"/>
        </w:rPr>
      </w:pPr>
      <w:r w:rsidRPr="00A4272E">
        <w:rPr>
          <w:rFonts w:ascii="Century Gothic" w:eastAsia="Times New Roman" w:hAnsi="Century Gothic" w:cs="Calibri"/>
          <w:b/>
          <w:i/>
          <w:lang w:eastAsia="fr-FR"/>
        </w:rPr>
        <w:t>La ligne « Coûts indirects »</w:t>
      </w:r>
      <w:r w:rsidRPr="00A42B98">
        <w:rPr>
          <w:rFonts w:ascii="Century Gothic" w:eastAsia="Times New Roman" w:hAnsi="Century Gothic" w:cs="Calibri"/>
          <w:color w:val="8064A2"/>
          <w:lang w:eastAsia="fr-FR"/>
        </w:rPr>
        <w:t> </w:t>
      </w:r>
      <w:r w:rsidRPr="00A42B98">
        <w:rPr>
          <w:rFonts w:ascii="Century Gothic" w:eastAsia="Times New Roman" w:hAnsi="Century Gothic" w:cs="Calibri"/>
          <w:lang w:eastAsia="fr-FR"/>
        </w:rPr>
        <w:t>:</w:t>
      </w:r>
      <w:r w:rsidR="00B92713" w:rsidRPr="00A42B98">
        <w:rPr>
          <w:rFonts w:ascii="Century Gothic" w:eastAsia="Times New Roman" w:hAnsi="Century Gothic" w:cs="Calibri"/>
          <w:lang w:eastAsia="fr-FR"/>
        </w:rPr>
        <w:t xml:space="preserve"> </w:t>
      </w:r>
      <w:r w:rsidR="00B92713" w:rsidRPr="00A42B98">
        <w:rPr>
          <w:rFonts w:ascii="Century Gothic" w:eastAsia="Times New Roman" w:hAnsi="Century Gothic" w:cs="Calibri"/>
          <w:color w:val="C00000"/>
          <w:lang w:eastAsia="fr-FR"/>
        </w:rPr>
        <w:t>e</w:t>
      </w:r>
      <w:r w:rsidRPr="00A42B98">
        <w:rPr>
          <w:rFonts w:ascii="Century Gothic" w:eastAsia="Times New Roman" w:hAnsi="Century Gothic" w:cs="Calibri"/>
          <w:color w:val="C00000"/>
          <w:lang w:eastAsia="fr-FR"/>
        </w:rPr>
        <w:t xml:space="preserve">xceptionnellement, pour les projets présélectionnés </w:t>
      </w:r>
      <w:r w:rsidR="009B53E0" w:rsidRPr="00A42B98">
        <w:rPr>
          <w:rFonts w:ascii="Century Gothic" w:eastAsia="Times New Roman" w:hAnsi="Century Gothic" w:cs="Calibri"/>
          <w:color w:val="C00000"/>
          <w:lang w:eastAsia="fr-FR"/>
        </w:rPr>
        <w:t xml:space="preserve">à partir </w:t>
      </w:r>
      <w:r w:rsidRPr="00A42B98">
        <w:rPr>
          <w:rFonts w:ascii="Century Gothic" w:eastAsia="Times New Roman" w:hAnsi="Century Gothic" w:cs="Calibri"/>
          <w:color w:val="C00000"/>
          <w:lang w:eastAsia="fr-FR"/>
        </w:rPr>
        <w:t xml:space="preserve">de l’AMI 2020, un taux unique de 14% </w:t>
      </w:r>
      <w:r w:rsidR="00D94E70" w:rsidRPr="00A42B98">
        <w:rPr>
          <w:rFonts w:ascii="Century Gothic" w:eastAsia="Times New Roman" w:hAnsi="Century Gothic" w:cs="Calibri"/>
          <w:color w:val="C00000"/>
          <w:lang w:eastAsia="fr-FR"/>
        </w:rPr>
        <w:t xml:space="preserve">maximum du total des coûts directs du projet </w:t>
      </w:r>
      <w:r w:rsidRPr="00A42B98">
        <w:rPr>
          <w:rFonts w:ascii="Century Gothic" w:eastAsia="Times New Roman" w:hAnsi="Century Gothic" w:cs="Calibri"/>
          <w:color w:val="C00000"/>
          <w:lang w:eastAsia="fr-FR"/>
        </w:rPr>
        <w:t xml:space="preserve">a été entériné. </w:t>
      </w:r>
      <w:r w:rsidR="0043234D" w:rsidRPr="00A42B98">
        <w:rPr>
          <w:rFonts w:ascii="Century Gothic" w:eastAsia="Times New Roman" w:hAnsi="Century Gothic" w:cs="Calibri"/>
          <w:color w:val="C00000"/>
          <w:lang w:eastAsia="fr-FR"/>
        </w:rPr>
        <w:t xml:space="preserve">L’OSC peut inclure dans les coûts directs les coûts salariaux du personnel du siège directement impliqué dans les activités du projet. </w:t>
      </w:r>
    </w:p>
    <w:p w14:paraId="2B6ECF4A" w14:textId="024B9E0D" w:rsidR="00776E6D" w:rsidRPr="00A42B98" w:rsidRDefault="009B53E0" w:rsidP="0043234D">
      <w:pPr>
        <w:numPr>
          <w:ilvl w:val="0"/>
          <w:numId w:val="2"/>
        </w:numPr>
        <w:spacing w:after="0" w:line="276" w:lineRule="auto"/>
        <w:jc w:val="both"/>
        <w:rPr>
          <w:rFonts w:ascii="Century Gothic" w:eastAsia="Times New Roman" w:hAnsi="Century Gothic" w:cs="Calibri"/>
          <w:b/>
          <w:u w:val="single"/>
          <w:lang w:eastAsia="fr-FR"/>
        </w:rPr>
      </w:pPr>
      <w:r w:rsidRPr="00A42B98">
        <w:rPr>
          <w:rFonts w:ascii="Century Gothic" w:eastAsia="Times New Roman" w:hAnsi="Century Gothic" w:cs="Calibri"/>
          <w:b/>
          <w:color w:val="C00000"/>
          <w:u w:val="single"/>
          <w:lang w:eastAsia="fr-FR"/>
        </w:rPr>
        <w:t xml:space="preserve">Ce taux </w:t>
      </w:r>
      <w:r w:rsidR="0043234D" w:rsidRPr="00A42B98">
        <w:rPr>
          <w:rFonts w:ascii="Century Gothic" w:eastAsia="Times New Roman" w:hAnsi="Century Gothic" w:cs="Calibri"/>
          <w:b/>
          <w:color w:val="C00000"/>
          <w:u w:val="single"/>
          <w:lang w:eastAsia="fr-FR"/>
        </w:rPr>
        <w:t>et cette règle sont</w:t>
      </w:r>
      <w:r w:rsidRPr="00A42B98">
        <w:rPr>
          <w:rFonts w:ascii="Century Gothic" w:eastAsia="Times New Roman" w:hAnsi="Century Gothic" w:cs="Calibri"/>
          <w:b/>
          <w:color w:val="C00000"/>
          <w:u w:val="single"/>
          <w:lang w:eastAsia="fr-FR"/>
        </w:rPr>
        <w:t xml:space="preserve"> amené</w:t>
      </w:r>
      <w:r w:rsidR="0043234D" w:rsidRPr="00A42B98">
        <w:rPr>
          <w:rFonts w:ascii="Century Gothic" w:eastAsia="Times New Roman" w:hAnsi="Century Gothic" w:cs="Calibri"/>
          <w:b/>
          <w:color w:val="C00000"/>
          <w:u w:val="single"/>
          <w:lang w:eastAsia="fr-FR"/>
        </w:rPr>
        <w:t>s</w:t>
      </w:r>
      <w:r w:rsidRPr="00A42B98">
        <w:rPr>
          <w:rFonts w:ascii="Century Gothic" w:eastAsia="Times New Roman" w:hAnsi="Century Gothic" w:cs="Calibri"/>
          <w:b/>
          <w:color w:val="C00000"/>
          <w:u w:val="single"/>
          <w:lang w:eastAsia="fr-FR"/>
        </w:rPr>
        <w:t xml:space="preserve"> à varier et </w:t>
      </w:r>
      <w:r w:rsidR="0043234D" w:rsidRPr="00A42B98">
        <w:rPr>
          <w:rFonts w:ascii="Century Gothic" w:eastAsia="Times New Roman" w:hAnsi="Century Gothic" w:cs="Calibri"/>
          <w:b/>
          <w:color w:val="C00000"/>
          <w:u w:val="single"/>
          <w:lang w:eastAsia="fr-FR"/>
        </w:rPr>
        <w:t>seront</w:t>
      </w:r>
      <w:r w:rsidRPr="00A42B98">
        <w:rPr>
          <w:rFonts w:ascii="Century Gothic" w:eastAsia="Times New Roman" w:hAnsi="Century Gothic" w:cs="Calibri"/>
          <w:b/>
          <w:color w:val="C00000"/>
          <w:u w:val="single"/>
          <w:lang w:eastAsia="fr-FR"/>
        </w:rPr>
        <w:t xml:space="preserve"> défini</w:t>
      </w:r>
      <w:r w:rsidR="0043234D" w:rsidRPr="00A42B98">
        <w:rPr>
          <w:rFonts w:ascii="Century Gothic" w:eastAsia="Times New Roman" w:hAnsi="Century Gothic" w:cs="Calibri"/>
          <w:b/>
          <w:color w:val="C00000"/>
          <w:u w:val="single"/>
          <w:lang w:eastAsia="fr-FR"/>
        </w:rPr>
        <w:t>s</w:t>
      </w:r>
      <w:r w:rsidRPr="00A42B98">
        <w:rPr>
          <w:rFonts w:ascii="Century Gothic" w:eastAsia="Times New Roman" w:hAnsi="Century Gothic" w:cs="Calibri"/>
          <w:b/>
          <w:color w:val="C00000"/>
          <w:u w:val="single"/>
          <w:lang w:eastAsia="fr-FR"/>
        </w:rPr>
        <w:t xml:space="preserve"> dans chaque AMI. </w:t>
      </w:r>
    </w:p>
    <w:p w14:paraId="5F2CFD6B" w14:textId="77777777" w:rsidR="0092266B" w:rsidRPr="00A42B98" w:rsidRDefault="0092266B" w:rsidP="0092266B">
      <w:pPr>
        <w:spacing w:after="0" w:line="276" w:lineRule="auto"/>
        <w:ind w:left="360"/>
        <w:jc w:val="both"/>
        <w:rPr>
          <w:rFonts w:ascii="Century Gothic" w:eastAsia="Times New Roman" w:hAnsi="Century Gothic" w:cs="Calibri"/>
          <w:lang w:eastAsia="fr-FR"/>
        </w:rPr>
      </w:pPr>
    </w:p>
    <w:p w14:paraId="55132512" w14:textId="3E3CD142"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Cambria" w:hAnsi="Century Gothic" w:cs="Calibri"/>
          <w:b/>
          <w:color w:val="4F81BD"/>
          <w:lang w:eastAsia="fr-FR"/>
        </w:rPr>
      </w:pPr>
      <w:r w:rsidRPr="00A42B98">
        <w:rPr>
          <w:rFonts w:ascii="Century Gothic" w:eastAsia="Times New Roman" w:hAnsi="Century Gothic" w:cs="Calibri"/>
          <w:b/>
          <w:color w:val="4F81BD"/>
          <w:lang w:eastAsia="fr-FR"/>
        </w:rPr>
        <w:lastRenderedPageBreak/>
        <w:t>D</w:t>
      </w:r>
      <w:r w:rsidRPr="00A42B98">
        <w:rPr>
          <w:rFonts w:ascii="Century Gothic" w:eastAsia="Cambria" w:hAnsi="Century Gothic" w:cs="Calibri"/>
          <w:b/>
          <w:color w:val="4F81BD"/>
          <w:lang w:eastAsia="fr-FR"/>
        </w:rPr>
        <w:t xml:space="preserve">ans le cadre du plan de financement </w:t>
      </w:r>
      <w:r w:rsidRPr="00A42B98">
        <w:rPr>
          <w:rFonts w:ascii="Century Gothic" w:eastAsia="Cambria" w:hAnsi="Century Gothic" w:cs="Calibri"/>
          <w:b/>
          <w:color w:val="4F81BD"/>
          <w:u w:val="single"/>
          <w:lang w:eastAsia="fr-FR"/>
        </w:rPr>
        <w:t>global</w:t>
      </w:r>
      <w:r w:rsidRPr="00A42B98">
        <w:rPr>
          <w:rFonts w:ascii="Century Gothic" w:eastAsia="Cambria" w:hAnsi="Century Gothic" w:cs="Calibri"/>
          <w:b/>
          <w:color w:val="4F81BD"/>
          <w:lang w:eastAsia="fr-FR"/>
        </w:rPr>
        <w:t xml:space="preserve"> du projet, toute variation supérieure ou égale à 20 % du total initialement prévu</w:t>
      </w:r>
      <w:r w:rsidRPr="00A42B98">
        <w:rPr>
          <w:rFonts w:ascii="Century Gothic" w:eastAsia="Times New Roman" w:hAnsi="Century Gothic" w:cs="Calibri"/>
          <w:b/>
          <w:color w:val="4F81BD"/>
          <w:lang w:eastAsia="fr-FR"/>
        </w:rPr>
        <w:t xml:space="preserve"> d’une</w:t>
      </w:r>
      <w:r w:rsidRPr="00A42B98">
        <w:rPr>
          <w:rFonts w:ascii="Century Gothic" w:eastAsia="Cambria" w:hAnsi="Century Gothic" w:cs="Calibri"/>
          <w:b/>
          <w:color w:val="4F81BD"/>
          <w:lang w:eastAsia="fr-FR"/>
        </w:rPr>
        <w:t xml:space="preserve"> rubrique budgétaire </w:t>
      </w:r>
      <w:r w:rsidRPr="00A42B98">
        <w:rPr>
          <w:rFonts w:ascii="Century Gothic" w:eastAsia="Times New Roman" w:hAnsi="Century Gothic" w:cs="Calibri"/>
          <w:b/>
          <w:color w:val="4F81BD"/>
          <w:lang w:eastAsia="fr-FR"/>
        </w:rPr>
        <w:t>doit faire l'objet d'une demande d’ANO auprès de DPA/OSC</w:t>
      </w:r>
      <w:r w:rsidR="003A0D3E" w:rsidRPr="00A42B98">
        <w:rPr>
          <w:rFonts w:ascii="Century Gothic" w:eastAsia="Times New Roman" w:hAnsi="Century Gothic" w:cs="Calibri"/>
          <w:b/>
          <w:color w:val="4F81BD"/>
          <w:lang w:eastAsia="fr-FR"/>
        </w:rPr>
        <w:t xml:space="preserve"> </w:t>
      </w:r>
      <w:r w:rsidR="003A0D3E" w:rsidRPr="00A42B98">
        <w:rPr>
          <w:rFonts w:ascii="Century Gothic" w:eastAsia="Cambria" w:hAnsi="Century Gothic" w:cs="Calibri"/>
          <w:b/>
          <w:color w:val="4F81BD"/>
          <w:lang w:eastAsia="fr-FR"/>
        </w:rPr>
        <w:t>Cette demande doit être formulée de manière anticipée avant la présentation du compte-rendu intermédiaire ou final.</w:t>
      </w:r>
    </w:p>
    <w:p w14:paraId="4835A029"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0C555C29" w14:textId="276B76C5" w:rsidR="003A0D3E" w:rsidRPr="00A42B9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Si la variation n'a pas pu être anticipée avant la finalisation du compte-rendu intermédiaire ou final, la demande est formulée en accompagnement du compte-rendu, auprès de DPA/OSC qui décidera si elle valide la modification et si cela nécessite un avenant à la convention de financement.</w:t>
      </w:r>
    </w:p>
    <w:p w14:paraId="6B430C5F"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063E9798" w14:textId="29FB150B"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 xml:space="preserve">Dans tous les cas, la demande d’ANO doit être </w:t>
      </w:r>
      <w:r w:rsidR="00551512" w:rsidRPr="00A42B98">
        <w:rPr>
          <w:rFonts w:ascii="Century Gothic" w:eastAsia="Times New Roman" w:hAnsi="Century Gothic" w:cs="Calibri"/>
          <w:color w:val="4F81BD"/>
          <w:lang w:eastAsia="fr-FR"/>
        </w:rPr>
        <w:t xml:space="preserve">argumentée </w:t>
      </w:r>
      <w:r w:rsidRPr="00A42B98">
        <w:rPr>
          <w:rFonts w:ascii="Century Gothic" w:eastAsia="Times New Roman" w:hAnsi="Century Gothic" w:cs="Calibri"/>
          <w:color w:val="4F81BD"/>
          <w:lang w:eastAsia="fr-FR"/>
        </w:rPr>
        <w:t>et expliquer les raisons des écarts.</w:t>
      </w:r>
    </w:p>
    <w:p w14:paraId="01225B34"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1E117C23" w14:textId="113E10E4" w:rsidR="00776E6D" w:rsidRPr="00A42B98" w:rsidRDefault="00776E6D" w:rsidP="00776E6D">
      <w:pPr>
        <w:pBdr>
          <w:top w:val="single" w:sz="4" w:space="1" w:color="4F81BD"/>
          <w:left w:val="single" w:sz="4" w:space="4" w:color="4F81BD"/>
          <w:bottom w:val="single" w:sz="4" w:space="1" w:color="4F81BD"/>
          <w:right w:val="single" w:sz="4" w:space="4" w:color="4F81BD"/>
        </w:pBdr>
        <w:tabs>
          <w:tab w:val="left" w:pos="426"/>
        </w:tabs>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 xml:space="preserve">Le budget révisé doit être élaboré au plus près possible de la réalité. En effet, si le compte-rendu intermédiaire est accepté par DPA/OSC, le budget révisé proposé devient le nouveau budget de référence contractuel sur lequel l'OSC devra rendre compte en fin de projet. </w:t>
      </w:r>
    </w:p>
    <w:p w14:paraId="1FD3FE92" w14:textId="70CC58C3" w:rsidR="009B53E0" w:rsidRPr="00A42B98" w:rsidRDefault="009B53E0">
      <w:pPr>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br w:type="page"/>
      </w:r>
    </w:p>
    <w:p w14:paraId="6A7626ED" w14:textId="77777777" w:rsidR="00776E6D" w:rsidRPr="00A42B98" w:rsidRDefault="00776E6D" w:rsidP="00776E6D">
      <w:pPr>
        <w:spacing w:after="0" w:line="240" w:lineRule="auto"/>
        <w:rPr>
          <w:rFonts w:ascii="Century Gothic" w:eastAsia="Times New Roman" w:hAnsi="Century Gothic" w:cs="Calibri"/>
          <w:b/>
          <w:u w:val="single"/>
          <w:lang w:eastAsia="fr-FR"/>
        </w:rPr>
      </w:pPr>
    </w:p>
    <w:p w14:paraId="1A999BF3" w14:textId="09A70DD2" w:rsidR="00776E6D" w:rsidRPr="00A42B98" w:rsidRDefault="00776E6D" w:rsidP="00776E6D">
      <w:pPr>
        <w:spacing w:before="88" w:after="0" w:line="242" w:lineRule="auto"/>
        <w:jc w:val="both"/>
        <w:rPr>
          <w:rFonts w:ascii="Century Gothic" w:eastAsia="Times New Roman" w:hAnsi="Century Gothic" w:cs="Times New Roman"/>
          <w:b/>
          <w:spacing w:val="-3"/>
          <w:w w:val="95"/>
          <w:u w:val="single"/>
          <w:lang w:eastAsia="fr-FR"/>
        </w:rPr>
      </w:pPr>
      <w:r w:rsidRPr="00A42B98">
        <w:rPr>
          <w:rFonts w:ascii="Century Gothic" w:eastAsia="Times New Roman" w:hAnsi="Century Gothic" w:cs="Times New Roman"/>
          <w:b/>
          <w:spacing w:val="-3"/>
          <w:w w:val="95"/>
          <w:u w:val="single"/>
          <w:lang w:eastAsia="fr-FR"/>
        </w:rPr>
        <w:t xml:space="preserve">Les colonnes « dépenses »  </w:t>
      </w:r>
    </w:p>
    <w:p w14:paraId="120089CA" w14:textId="77777777" w:rsidR="00776E6D" w:rsidRPr="00A4272E" w:rsidRDefault="00776E6D" w:rsidP="00776E6D">
      <w:pPr>
        <w:numPr>
          <w:ilvl w:val="0"/>
          <w:numId w:val="2"/>
        </w:numPr>
        <w:spacing w:after="0" w:line="276" w:lineRule="auto"/>
        <w:jc w:val="both"/>
        <w:rPr>
          <w:rFonts w:ascii="Century Gothic" w:eastAsia="Times New Roman" w:hAnsi="Century Gothic" w:cs="Calibri"/>
          <w:b/>
          <w:i/>
          <w:lang w:eastAsia="fr-FR"/>
        </w:rPr>
      </w:pPr>
      <w:r w:rsidRPr="00A4272E">
        <w:rPr>
          <w:rFonts w:ascii="Century Gothic" w:eastAsia="Times New Roman" w:hAnsi="Century Gothic" w:cs="Calibri"/>
          <w:b/>
          <w:i/>
          <w:lang w:eastAsia="fr-FR"/>
        </w:rPr>
        <w:t>Les colonnes en jaune « Dépenses prévisionnelles » :</w:t>
      </w:r>
    </w:p>
    <w:p w14:paraId="39B2D7AC"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NIONG : ces colonnes sont à remplir au moment de l’instruction, pour les deux tranches de décaissement prévisionnelles, </w:t>
      </w:r>
    </w:p>
    <w:p w14:paraId="1D08B60B"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Comptes rendus : Le budget prévisionnel doit reprendre scrupuleusement le budget global annexé à la convention de financement signée avec l'AFD ou à/aux (l’) avenant(s) ou ANO, le cas échéant.</w:t>
      </w:r>
    </w:p>
    <w:p w14:paraId="723C89FA" w14:textId="77777777" w:rsidR="00776E6D" w:rsidRPr="00A42B98" w:rsidRDefault="00776E6D" w:rsidP="00776E6D">
      <w:pPr>
        <w:spacing w:after="0" w:line="276" w:lineRule="auto"/>
        <w:ind w:left="1080"/>
        <w:contextualSpacing/>
        <w:jc w:val="both"/>
        <w:rPr>
          <w:rFonts w:ascii="Century Gothic" w:eastAsia="Times New Roman" w:hAnsi="Century Gothic" w:cs="Calibri"/>
          <w:lang w:eastAsia="fr-FR"/>
        </w:rPr>
      </w:pPr>
    </w:p>
    <w:p w14:paraId="17862EB0" w14:textId="77777777" w:rsidR="00776E6D" w:rsidRPr="00A4272E" w:rsidRDefault="00776E6D" w:rsidP="00776E6D">
      <w:pPr>
        <w:numPr>
          <w:ilvl w:val="0"/>
          <w:numId w:val="2"/>
        </w:numPr>
        <w:spacing w:after="0" w:line="276" w:lineRule="auto"/>
        <w:jc w:val="both"/>
        <w:rPr>
          <w:rFonts w:ascii="Century Gothic" w:eastAsia="Times New Roman" w:hAnsi="Century Gothic" w:cs="Calibri"/>
          <w:b/>
          <w:i/>
          <w:lang w:eastAsia="fr-FR"/>
        </w:rPr>
      </w:pPr>
      <w:r w:rsidRPr="00A4272E">
        <w:rPr>
          <w:rFonts w:ascii="Century Gothic" w:eastAsia="Times New Roman" w:hAnsi="Century Gothic" w:cs="Calibri"/>
          <w:b/>
          <w:i/>
          <w:lang w:eastAsia="fr-FR"/>
        </w:rPr>
        <w:t>Les colonnes en orange « Dépenses révisées » :</w:t>
      </w:r>
    </w:p>
    <w:p w14:paraId="11B9DAF3" w14:textId="5579DED1" w:rsidR="00776E6D" w:rsidRPr="00A42B98" w:rsidRDefault="003F5677" w:rsidP="00776E6D">
      <w:pPr>
        <w:numPr>
          <w:ilvl w:val="0"/>
          <w:numId w:val="1"/>
        </w:numPr>
        <w:spacing w:after="0" w:line="276" w:lineRule="auto"/>
        <w:jc w:val="both"/>
        <w:rPr>
          <w:rFonts w:ascii="Century Gothic" w:eastAsia="Times New Roman" w:hAnsi="Century Gothic" w:cs="Calibri"/>
          <w:u w:val="single"/>
          <w:lang w:eastAsia="fr-FR"/>
        </w:rPr>
      </w:pPr>
      <w:r w:rsidRPr="00A42B98">
        <w:rPr>
          <w:rFonts w:ascii="Century Gothic" w:eastAsia="Times New Roman" w:hAnsi="Century Gothic" w:cs="Calibri"/>
          <w:lang w:eastAsia="fr-FR"/>
        </w:rPr>
        <w:t>Comptes</w:t>
      </w:r>
      <w:r w:rsidR="00776E6D" w:rsidRPr="00A42B98">
        <w:rPr>
          <w:rFonts w:ascii="Century Gothic" w:eastAsia="Times New Roman" w:hAnsi="Century Gothic" w:cs="Calibri"/>
          <w:lang w:eastAsia="fr-FR"/>
        </w:rPr>
        <w:t xml:space="preserve"> rendus : ces colonnes permettent à l'OSC en début de tranche 2 d'actualiser son budget prévisionnel en tenant compte :</w:t>
      </w:r>
    </w:p>
    <w:p w14:paraId="22115AEB" w14:textId="31416CD9" w:rsidR="00776E6D" w:rsidRPr="00A42B98" w:rsidRDefault="003F5677" w:rsidP="00776E6D">
      <w:pPr>
        <w:numPr>
          <w:ilvl w:val="1"/>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Du</w:t>
      </w:r>
      <w:r w:rsidR="00776E6D" w:rsidRPr="00A42B98">
        <w:rPr>
          <w:rFonts w:ascii="Century Gothic" w:eastAsia="Times New Roman" w:hAnsi="Century Gothic" w:cs="Calibri"/>
          <w:lang w:eastAsia="fr-FR"/>
        </w:rPr>
        <w:t xml:space="preserve"> taux de réalisation de la tranche précédente, </w:t>
      </w:r>
    </w:p>
    <w:p w14:paraId="0ED9BD85" w14:textId="54EEE368" w:rsidR="00776E6D" w:rsidRPr="00A42B98" w:rsidRDefault="003F5677" w:rsidP="00776E6D">
      <w:pPr>
        <w:numPr>
          <w:ilvl w:val="1"/>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De</w:t>
      </w:r>
      <w:r w:rsidR="00776E6D" w:rsidRPr="00A42B98">
        <w:rPr>
          <w:rFonts w:ascii="Century Gothic" w:eastAsia="Times New Roman" w:hAnsi="Century Gothic" w:cs="Calibri"/>
          <w:lang w:eastAsia="fr-FR"/>
        </w:rPr>
        <w:t xml:space="preserve"> ressources supplémentaires acquises, ou au contraire de ressources espérées et non acquises en cours d'exécution du projet, </w:t>
      </w:r>
    </w:p>
    <w:p w14:paraId="52484A1E" w14:textId="2BDC5137" w:rsidR="00776E6D" w:rsidRPr="00A42B98" w:rsidRDefault="003F5677" w:rsidP="00776E6D">
      <w:pPr>
        <w:numPr>
          <w:ilvl w:val="1"/>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w:t>
      </w:r>
      <w:r w:rsidR="00D44D79" w:rsidRPr="00A42B98">
        <w:rPr>
          <w:rFonts w:ascii="Century Gothic" w:eastAsia="Times New Roman" w:hAnsi="Century Gothic" w:cs="Calibri"/>
          <w:lang w:eastAsia="fr-FR"/>
        </w:rPr>
        <w:t>u ou d</w:t>
      </w:r>
      <w:r w:rsidRPr="00A42B98">
        <w:rPr>
          <w:rFonts w:ascii="Century Gothic" w:eastAsia="Times New Roman" w:hAnsi="Century Gothic" w:cs="Calibri"/>
          <w:lang w:eastAsia="fr-FR"/>
        </w:rPr>
        <w:t>es</w:t>
      </w:r>
      <w:r w:rsidR="00776E6D" w:rsidRPr="00A42B98">
        <w:rPr>
          <w:rFonts w:ascii="Century Gothic" w:eastAsia="Times New Roman" w:hAnsi="Century Gothic" w:cs="Calibri"/>
          <w:lang w:eastAsia="fr-FR"/>
        </w:rPr>
        <w:t xml:space="preserve"> avenants ou ANO accepté</w:t>
      </w:r>
      <w:r w:rsidR="00D44D79" w:rsidRPr="00A42B98">
        <w:rPr>
          <w:rFonts w:ascii="Century Gothic" w:eastAsia="Times New Roman" w:hAnsi="Century Gothic" w:cs="Calibri"/>
          <w:lang w:eastAsia="fr-FR"/>
        </w:rPr>
        <w:t>(</w:t>
      </w:r>
      <w:r w:rsidR="00776E6D" w:rsidRPr="00A42B98">
        <w:rPr>
          <w:rFonts w:ascii="Century Gothic" w:eastAsia="Times New Roman" w:hAnsi="Century Gothic" w:cs="Calibri"/>
          <w:lang w:eastAsia="fr-FR"/>
        </w:rPr>
        <w:t>s</w:t>
      </w:r>
      <w:r w:rsidR="00D44D79" w:rsidRPr="00A42B98">
        <w:rPr>
          <w:rFonts w:ascii="Century Gothic" w:eastAsia="Times New Roman" w:hAnsi="Century Gothic" w:cs="Calibri"/>
          <w:lang w:eastAsia="fr-FR"/>
        </w:rPr>
        <w:t>)</w:t>
      </w:r>
      <w:r w:rsidR="00776E6D" w:rsidRPr="00A42B98">
        <w:rPr>
          <w:rFonts w:ascii="Century Gothic" w:eastAsia="Times New Roman" w:hAnsi="Century Gothic" w:cs="Calibri"/>
          <w:lang w:eastAsia="fr-FR"/>
        </w:rPr>
        <w:t xml:space="preserve"> par DPA/OSC. </w:t>
      </w:r>
    </w:p>
    <w:p w14:paraId="3A504095" w14:textId="77777777" w:rsidR="00776E6D" w:rsidRPr="00A42B98" w:rsidRDefault="00776E6D" w:rsidP="00776E6D">
      <w:pPr>
        <w:spacing w:after="0" w:line="276" w:lineRule="auto"/>
        <w:ind w:firstLine="567"/>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modifications doivent être explicitées au moment des comptes rendus. </w:t>
      </w:r>
    </w:p>
    <w:p w14:paraId="33CA6C3F" w14:textId="77777777" w:rsidR="00776E6D" w:rsidRPr="00A42B98" w:rsidRDefault="00776E6D" w:rsidP="00776E6D">
      <w:pPr>
        <w:spacing w:after="0" w:line="240" w:lineRule="auto"/>
        <w:rPr>
          <w:rFonts w:ascii="Century Gothic" w:eastAsia="Calibri" w:hAnsi="Century Gothic" w:cs="Calibri"/>
        </w:rPr>
      </w:pPr>
    </w:p>
    <w:p w14:paraId="77A777BD" w14:textId="77777777" w:rsidR="00776E6D" w:rsidRPr="00A4272E" w:rsidRDefault="00776E6D" w:rsidP="00776E6D">
      <w:pPr>
        <w:numPr>
          <w:ilvl w:val="0"/>
          <w:numId w:val="2"/>
        </w:numPr>
        <w:spacing w:after="0" w:line="276" w:lineRule="auto"/>
        <w:jc w:val="both"/>
        <w:rPr>
          <w:rFonts w:ascii="Century Gothic" w:eastAsia="Times New Roman" w:hAnsi="Century Gothic" w:cs="Calibri"/>
          <w:b/>
          <w:i/>
          <w:lang w:eastAsia="fr-FR"/>
        </w:rPr>
      </w:pPr>
      <w:r w:rsidRPr="00A4272E">
        <w:rPr>
          <w:rFonts w:ascii="Century Gothic" w:eastAsia="Times New Roman" w:hAnsi="Century Gothic" w:cs="Calibri"/>
          <w:b/>
          <w:i/>
          <w:lang w:eastAsia="fr-FR"/>
        </w:rPr>
        <w:t>Les colonnes en rose « Dépenses réalisées » :</w:t>
      </w:r>
    </w:p>
    <w:p w14:paraId="6EA9791B" w14:textId="37A4CBA4" w:rsidR="00776E6D" w:rsidRPr="00A42B98" w:rsidRDefault="003F5677"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Comptes</w:t>
      </w:r>
      <w:r w:rsidR="00776E6D" w:rsidRPr="00A42B98">
        <w:rPr>
          <w:rFonts w:ascii="Century Gothic" w:eastAsia="Times New Roman" w:hAnsi="Century Gothic" w:cs="Calibri"/>
          <w:lang w:eastAsia="fr-FR"/>
        </w:rPr>
        <w:t xml:space="preserve"> rendus : ces colonnes indiquent les dépenses effectivement réalisées</w:t>
      </w:r>
      <w:r w:rsidR="00551512" w:rsidRPr="00A42B98">
        <w:rPr>
          <w:rFonts w:ascii="Century Gothic" w:eastAsia="Times New Roman" w:hAnsi="Century Gothic" w:cs="Calibri"/>
          <w:lang w:eastAsia="fr-FR"/>
        </w:rPr>
        <w:t xml:space="preserve"> (i.e. engagées et acquittées)</w:t>
      </w:r>
      <w:r w:rsidR="00776E6D" w:rsidRPr="00A42B98">
        <w:rPr>
          <w:rFonts w:ascii="Century Gothic" w:eastAsia="Times New Roman" w:hAnsi="Century Gothic" w:cs="Calibri"/>
          <w:lang w:eastAsia="fr-FR"/>
        </w:rPr>
        <w:t xml:space="preserve"> à la fin de chaque tranche d'exécution (elles sont complétées au fur et à mesure de la mise en œuvre du projet),</w:t>
      </w:r>
    </w:p>
    <w:p w14:paraId="7697ECED" w14:textId="4C77F455"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 second versement pourra être demandé par l’OSC lorsque 70% des dépenses totales prévisionnelles du budget de la tranche 1 auront été réalisées. Les 30% restant non réalisés de la tranche 1 doivent être reportés sur le tableau des dépenses révisées de la tranche 2. </w:t>
      </w:r>
    </w:p>
    <w:p w14:paraId="3D69447F" w14:textId="77777777" w:rsidR="00776E6D" w:rsidRPr="00A42B98" w:rsidRDefault="00776E6D" w:rsidP="00776E6D">
      <w:pPr>
        <w:spacing w:after="0" w:line="276" w:lineRule="auto"/>
        <w:jc w:val="both"/>
        <w:rPr>
          <w:rFonts w:ascii="Century Gothic" w:eastAsia="Calibri" w:hAnsi="Century Gothic" w:cs="Calibri"/>
        </w:rPr>
      </w:pPr>
    </w:p>
    <w:p w14:paraId="0A75947B" w14:textId="7505D430" w:rsidR="00776E6D" w:rsidRPr="00A42B98" w:rsidRDefault="00776E6D" w:rsidP="00776E6D">
      <w:pPr>
        <w:pBdr>
          <w:top w:val="single" w:sz="4" w:space="1" w:color="4F81BD"/>
          <w:left w:val="single" w:sz="4" w:space="4" w:color="4F81BD"/>
          <w:bottom w:val="single" w:sz="4" w:space="0" w:color="4F81BD"/>
          <w:right w:val="single" w:sz="4" w:space="4" w:color="4F81BD"/>
        </w:pBdr>
        <w:spacing w:after="0" w:line="276" w:lineRule="auto"/>
        <w:jc w:val="both"/>
        <w:rPr>
          <w:rFonts w:ascii="Century Gothic" w:eastAsia="Calibri" w:hAnsi="Century Gothic" w:cs="Calibri"/>
          <w:color w:val="4F81BD"/>
        </w:rPr>
      </w:pPr>
      <w:r w:rsidRPr="00A42B98">
        <w:rPr>
          <w:rFonts w:ascii="Century Gothic" w:eastAsia="Calibri" w:hAnsi="Century Gothic" w:cs="Calibri"/>
          <w:color w:val="4F81BD"/>
        </w:rPr>
        <w:t xml:space="preserve">L’OSC doit renseigner la colonne des dépenses révisées </w:t>
      </w:r>
      <w:r w:rsidRPr="00A42B98">
        <w:rPr>
          <w:rFonts w:ascii="Century Gothic" w:eastAsia="Calibri" w:hAnsi="Century Gothic" w:cs="Calibri"/>
          <w:color w:val="4F81BD"/>
          <w:u w:val="single"/>
        </w:rPr>
        <w:t>uniquement en début de tranche 2</w:t>
      </w:r>
      <w:r w:rsidRPr="00A42B98">
        <w:rPr>
          <w:rFonts w:ascii="Century Gothic" w:eastAsia="Calibri" w:hAnsi="Century Gothic" w:cs="Calibri"/>
          <w:color w:val="4F81BD"/>
        </w:rPr>
        <w:t xml:space="preserve"> et ce même si les montants prévisionnels de la tranche 2 n’ont pas été révisés et sont toujours conformes aux montants indiqués dans le budget initial global annexé à la convention de financement (dans ce cas il conviendra alors de faire un copier/coller des montants prévisionnels de la tranche 2 dans la colonne des dépenses révisées de la tranche 2</w:t>
      </w:r>
      <w:r w:rsidR="00777337" w:rsidRPr="00A42B98">
        <w:rPr>
          <w:rFonts w:ascii="Century Gothic" w:eastAsia="Calibri" w:hAnsi="Century Gothic" w:cs="Calibri"/>
          <w:color w:val="4F81BD"/>
        </w:rPr>
        <w:t>.</w:t>
      </w:r>
    </w:p>
    <w:p w14:paraId="5BCDEC14" w14:textId="77777777" w:rsidR="00776E6D" w:rsidRPr="00A42B98" w:rsidRDefault="00776E6D" w:rsidP="00776E6D">
      <w:pPr>
        <w:spacing w:after="0" w:line="276" w:lineRule="auto"/>
        <w:jc w:val="both"/>
        <w:rPr>
          <w:rFonts w:ascii="Century Gothic" w:eastAsia="Calibri" w:hAnsi="Century Gothic" w:cs="Calibri"/>
        </w:rPr>
      </w:pPr>
    </w:p>
    <w:p w14:paraId="05E69A5A" w14:textId="77777777" w:rsidR="00776E6D" w:rsidRPr="00A42B98" w:rsidRDefault="00776E6D" w:rsidP="00776E6D">
      <w:pPr>
        <w:numPr>
          <w:ilvl w:val="0"/>
          <w:numId w:val="2"/>
        </w:numPr>
        <w:spacing w:after="0" w:line="276" w:lineRule="auto"/>
        <w:ind w:left="357" w:hanging="357"/>
        <w:jc w:val="both"/>
        <w:rPr>
          <w:rFonts w:ascii="Century Gothic" w:eastAsia="Times New Roman" w:hAnsi="Century Gothic" w:cs="Calibri"/>
          <w:lang w:eastAsia="fr-FR"/>
        </w:rPr>
      </w:pPr>
      <w:r w:rsidRPr="00A4272E">
        <w:rPr>
          <w:rFonts w:ascii="Century Gothic" w:eastAsia="Times New Roman" w:hAnsi="Century Gothic" w:cs="Calibri"/>
          <w:b/>
          <w:i/>
          <w:lang w:eastAsia="fr-FR"/>
        </w:rPr>
        <w:t>Les colonnes en blanc "variations"</w:t>
      </w:r>
      <w:r w:rsidRPr="00A42B98">
        <w:rPr>
          <w:rFonts w:ascii="Century Gothic" w:eastAsia="Times New Roman" w:hAnsi="Century Gothic" w:cs="Calibri"/>
          <w:lang w:eastAsia="fr-FR"/>
        </w:rPr>
        <w:t xml:space="preserve"> s'entendent par le ratio dépenses réalisées/dépenses prévisionnelles initiales (lors de la Tranche 1), et par le ratio dépenses réalisées/dépenses révisées (lors de la tranche 2). Toute variation de +/- 10% d’une rubrique budgétaire dans l’exécution d’une tranche apparait automatiquement en rouge. Ces variations doivent être justifiées dans un document annexé aux comptes rendus mais elles ne nécessitent pas d’ANO.</w:t>
      </w:r>
    </w:p>
    <w:p w14:paraId="7ABC356D"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215A826C" w14:textId="77777777" w:rsidR="00776E6D" w:rsidRPr="00A42B98" w:rsidRDefault="00776E6D" w:rsidP="00776E6D">
      <w:pPr>
        <w:spacing w:after="0" w:line="240" w:lineRule="auto"/>
        <w:rPr>
          <w:rFonts w:ascii="Century Gothic" w:eastAsia="Times New Roman" w:hAnsi="Century Gothic" w:cs="Calibri"/>
          <w:b/>
          <w:caps/>
          <w:u w:val="single"/>
          <w:lang w:eastAsia="fr-FR"/>
        </w:rPr>
      </w:pPr>
      <w:bookmarkStart w:id="1" w:name="_Toc324951755"/>
      <w:r w:rsidRPr="00A42B98">
        <w:rPr>
          <w:rFonts w:ascii="Century Gothic" w:eastAsia="Times New Roman" w:hAnsi="Century Gothic" w:cs="Calibri"/>
          <w:b/>
          <w:u w:val="single"/>
          <w:lang w:eastAsia="fr-FR"/>
        </w:rPr>
        <w:t>Détails des rubriques de dépenses éligibles</w:t>
      </w:r>
      <w:bookmarkEnd w:id="1"/>
    </w:p>
    <w:p w14:paraId="284A2B66" w14:textId="77777777" w:rsidR="00776E6D" w:rsidRPr="00A42B98" w:rsidRDefault="00776E6D" w:rsidP="00776E6D">
      <w:pPr>
        <w:pBdr>
          <w:top w:val="single" w:sz="4" w:space="1" w:color="FFFFFF"/>
          <w:left w:val="single" w:sz="4" w:space="4" w:color="FFFFFF"/>
          <w:bottom w:val="single" w:sz="4" w:space="1" w:color="FFFFFF"/>
          <w:right w:val="single" w:sz="4" w:space="4" w:color="FFFFFF"/>
        </w:pBdr>
        <w:shd w:val="clear" w:color="auto" w:fill="FFFFFF"/>
        <w:spacing w:after="0" w:line="276" w:lineRule="auto"/>
        <w:ind w:left="1440"/>
        <w:jc w:val="both"/>
        <w:rPr>
          <w:rFonts w:ascii="Century Gothic" w:eastAsia="Times New Roman" w:hAnsi="Century Gothic" w:cs="Calibri"/>
          <w:b/>
          <w:lang w:eastAsia="fr-FR"/>
        </w:rPr>
      </w:pPr>
    </w:p>
    <w:p w14:paraId="406FAA71" w14:textId="3AACFB21"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w:t>
      </w:r>
      <w:r w:rsidR="003F5677" w:rsidRPr="00A42B98">
        <w:rPr>
          <w:rFonts w:ascii="Century Gothic" w:eastAsia="Times New Roman" w:hAnsi="Century Gothic" w:cs="Calibri"/>
          <w:lang w:eastAsia="fr-FR"/>
        </w:rPr>
        <w:t>es dépenses sont organisées en 7</w:t>
      </w:r>
      <w:r w:rsidRPr="00A42B98">
        <w:rPr>
          <w:rFonts w:ascii="Century Gothic" w:eastAsia="Times New Roman" w:hAnsi="Century Gothic" w:cs="Calibri"/>
          <w:lang w:eastAsia="fr-FR"/>
        </w:rPr>
        <w:t xml:space="preserve"> rubriques. Seules les variations supérieures ou égales à 20% du total de chacune des rubriques ci-dessous sont soumises à ANO de DPA/OSC. </w:t>
      </w:r>
    </w:p>
    <w:p w14:paraId="16EA8858" w14:textId="192AF7C2"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lastRenderedPageBreak/>
        <w:t>Pour chaque rubrique, les frais peuvent être supportés soit par l’association française (siège ou antenne locale) soit par son</w:t>
      </w:r>
      <w:r w:rsidR="009B53E0" w:rsidRPr="00A42B98">
        <w:rPr>
          <w:rFonts w:ascii="Century Gothic" w:eastAsia="Times New Roman" w:hAnsi="Century Gothic" w:cs="Calibri"/>
          <w:lang w:eastAsia="fr-FR"/>
        </w:rPr>
        <w:t>/se</w:t>
      </w:r>
      <w:r w:rsidR="00777337" w:rsidRPr="00A42B98">
        <w:rPr>
          <w:rFonts w:ascii="Century Gothic" w:eastAsia="Times New Roman" w:hAnsi="Century Gothic" w:cs="Calibri"/>
          <w:lang w:eastAsia="fr-FR"/>
        </w:rPr>
        <w:t>s</w:t>
      </w:r>
      <w:r w:rsidRPr="00A42B98">
        <w:rPr>
          <w:rFonts w:ascii="Century Gothic" w:eastAsia="Times New Roman" w:hAnsi="Century Gothic" w:cs="Calibri"/>
          <w:lang w:eastAsia="fr-FR"/>
        </w:rPr>
        <w:t xml:space="preserve"> partenaire(s). </w:t>
      </w:r>
    </w:p>
    <w:p w14:paraId="3E7D62E6"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6B47DD9B" w14:textId="77777777"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Important : en cas de doute dans l’affectation d’une dépense dans l’une ou l’autre des rubriques du tableau budgétaire, l’OSC devra se reporter à l’affectation comptable qu’elle utilise en interne pour ce type de dépenses.</w:t>
      </w:r>
    </w:p>
    <w:p w14:paraId="3F0D6B29" w14:textId="77777777" w:rsidR="00776E6D" w:rsidRPr="00A42B98" w:rsidRDefault="00776E6D" w:rsidP="00776E6D">
      <w:pPr>
        <w:spacing w:before="88" w:after="0" w:line="247" w:lineRule="auto"/>
        <w:jc w:val="both"/>
        <w:rPr>
          <w:rFonts w:ascii="Century Gothic" w:eastAsia="Times New Roman" w:hAnsi="Century Gothic" w:cs="Times New Roman"/>
          <w:i/>
          <w:lang w:eastAsia="fr-FR"/>
        </w:rPr>
      </w:pPr>
    </w:p>
    <w:p w14:paraId="00D4D472" w14:textId="77777777" w:rsidR="00776E6D" w:rsidRPr="00A42B98" w:rsidRDefault="00776E6D" w:rsidP="00776E6D">
      <w:pPr>
        <w:spacing w:before="88" w:after="0" w:line="247" w:lineRule="auto"/>
        <w:jc w:val="center"/>
        <w:rPr>
          <w:rFonts w:ascii="Century Gothic" w:eastAsia="Times New Roman" w:hAnsi="Century Gothic" w:cs="Times New Roman"/>
          <w:b/>
          <w:color w:val="C00000"/>
          <w:sz w:val="28"/>
          <w:szCs w:val="28"/>
          <w:lang w:eastAsia="fr-FR"/>
        </w:rPr>
      </w:pPr>
      <w:r w:rsidRPr="00A42B98">
        <w:rPr>
          <w:rFonts w:ascii="Century Gothic" w:eastAsia="Times New Roman" w:hAnsi="Century Gothic" w:cs="Times New Roman"/>
          <w:b/>
          <w:color w:val="C00000"/>
          <w:sz w:val="28"/>
          <w:szCs w:val="28"/>
          <w:lang w:eastAsia="fr-FR"/>
        </w:rPr>
        <w:t xml:space="preserve">Les rubriques suivantes correspondent aux coûts directs du projet et aux coûts de renforcement et </w:t>
      </w:r>
    </w:p>
    <w:p w14:paraId="7FE6D700" w14:textId="77777777" w:rsidR="00776E6D" w:rsidRPr="00A42B98" w:rsidRDefault="00776E6D" w:rsidP="00776E6D">
      <w:pPr>
        <w:spacing w:before="88" w:after="0" w:line="247" w:lineRule="auto"/>
        <w:jc w:val="center"/>
        <w:rPr>
          <w:rFonts w:ascii="Century Gothic" w:eastAsia="Times New Roman" w:hAnsi="Century Gothic" w:cs="Times New Roman"/>
          <w:b/>
          <w:color w:val="C00000"/>
          <w:sz w:val="28"/>
          <w:szCs w:val="28"/>
          <w:lang w:eastAsia="fr-FR"/>
        </w:rPr>
      </w:pPr>
      <w:r w:rsidRPr="00A42B98">
        <w:rPr>
          <w:rFonts w:ascii="Century Gothic" w:eastAsia="Times New Roman" w:hAnsi="Century Gothic" w:cs="Times New Roman"/>
          <w:b/>
          <w:color w:val="C00000"/>
          <w:sz w:val="28"/>
          <w:szCs w:val="28"/>
          <w:lang w:eastAsia="fr-FR"/>
        </w:rPr>
        <w:t>de structuration des partenaires locaux</w:t>
      </w:r>
    </w:p>
    <w:p w14:paraId="55D3270B" w14:textId="77777777" w:rsidR="00776E6D" w:rsidRPr="00A42B98" w:rsidRDefault="00776E6D" w:rsidP="00776E6D">
      <w:pPr>
        <w:spacing w:before="88" w:after="0" w:line="247" w:lineRule="auto"/>
        <w:jc w:val="both"/>
        <w:rPr>
          <w:rFonts w:ascii="Century Gothic" w:eastAsia="Times New Roman" w:hAnsi="Century Gothic" w:cs="Times New Roman"/>
          <w:i/>
          <w:lang w:eastAsia="fr-FR"/>
        </w:rPr>
      </w:pPr>
    </w:p>
    <w:p w14:paraId="208DA2BF" w14:textId="468BDF16" w:rsidR="00776E6D" w:rsidRPr="00790F8D" w:rsidRDefault="00776E6D" w:rsidP="00776E6D">
      <w:pPr>
        <w:spacing w:before="88" w:after="0" w:line="242" w:lineRule="auto"/>
        <w:jc w:val="both"/>
        <w:rPr>
          <w:rFonts w:ascii="Century Gothic" w:eastAsia="Times New Roman" w:hAnsi="Century Gothic" w:cs="Times New Roman"/>
          <w:b/>
          <w:spacing w:val="-3"/>
          <w:w w:val="95"/>
          <w:lang w:eastAsia="fr-FR"/>
        </w:rPr>
      </w:pPr>
      <w:r w:rsidRPr="00694C2F">
        <w:rPr>
          <w:rFonts w:ascii="Century Gothic" w:eastAsia="Cambria" w:hAnsi="Century Gothic" w:cs="Calibri"/>
          <w:b/>
        </w:rPr>
        <w:t>Rubrique 1 : Immobilier, équipement technique et mobilier (achat ou location de type leasing</w:t>
      </w:r>
      <w:r w:rsidRPr="00694C2F">
        <w:rPr>
          <w:rFonts w:ascii="Century Gothic" w:eastAsia="Cambria" w:hAnsi="Century Gothic" w:cs="Calibri"/>
          <w:b/>
        </w:rPr>
        <w:footnoteReference w:id="1"/>
      </w:r>
      <w:r w:rsidRPr="00694C2F">
        <w:rPr>
          <w:rFonts w:ascii="Century Gothic" w:eastAsia="Cambria" w:hAnsi="Century Gothic" w:cs="Calibri"/>
          <w:b/>
        </w:rPr>
        <w:t>)</w:t>
      </w:r>
      <w:r w:rsidR="009B53E0" w:rsidRPr="00694C2F">
        <w:rPr>
          <w:rFonts w:ascii="Century Gothic" w:eastAsia="Cambria" w:hAnsi="Century Gothic" w:cs="Calibri"/>
          <w:b/>
        </w:rPr>
        <w:t xml:space="preserve"> (Cette rubrique ne doit pas être remplie </w:t>
      </w:r>
      <w:r w:rsidR="00777337" w:rsidRPr="00694C2F">
        <w:rPr>
          <w:rFonts w:ascii="Century Gothic" w:eastAsia="Cambria" w:hAnsi="Century Gothic" w:cs="Calibri"/>
          <w:b/>
        </w:rPr>
        <w:t xml:space="preserve">pour </w:t>
      </w:r>
      <w:r w:rsidR="009B53E0" w:rsidRPr="00694C2F">
        <w:rPr>
          <w:rFonts w:ascii="Century Gothic" w:eastAsia="Cambria" w:hAnsi="Century Gothic" w:cs="Calibri"/>
          <w:b/>
        </w:rPr>
        <w:t>les projets d’intérêt général</w:t>
      </w:r>
      <w:r w:rsidR="009916D2" w:rsidRPr="00A42B98">
        <w:rPr>
          <w:rFonts w:ascii="Century Gothic" w:eastAsia="Times New Roman" w:hAnsi="Century Gothic" w:cs="Times New Roman"/>
          <w:b/>
          <w:color w:val="347E9F"/>
          <w:spacing w:val="-3"/>
          <w:w w:val="95"/>
          <w:lang w:eastAsia="fr-FR"/>
        </w:rPr>
        <w:t xml:space="preserve"> </w:t>
      </w:r>
      <w:r w:rsidR="00EA095D" w:rsidRPr="00790F8D">
        <w:rPr>
          <w:rFonts w:ascii="Century Gothic" w:eastAsia="Times New Roman" w:hAnsi="Century Gothic" w:cs="Times New Roman"/>
          <w:b/>
          <w:i/>
          <w:spacing w:val="-3"/>
          <w:w w:val="95"/>
          <w:lang w:eastAsia="fr-FR"/>
        </w:rPr>
        <w:t xml:space="preserve">sauf pour l’achat d’un </w:t>
      </w:r>
      <w:r w:rsidR="009916D2" w:rsidRPr="00790F8D">
        <w:rPr>
          <w:rFonts w:ascii="Century Gothic" w:eastAsia="Times New Roman" w:hAnsi="Century Gothic" w:cs="Times New Roman"/>
          <w:b/>
          <w:i/>
          <w:spacing w:val="-3"/>
          <w:w w:val="95"/>
          <w:lang w:eastAsia="fr-FR"/>
        </w:rPr>
        <w:t>logiciel de filtrage</w:t>
      </w:r>
      <w:r w:rsidR="009B53E0" w:rsidRPr="00790F8D">
        <w:rPr>
          <w:rFonts w:ascii="Century Gothic" w:eastAsia="Times New Roman" w:hAnsi="Century Gothic" w:cs="Times New Roman"/>
          <w:b/>
          <w:spacing w:val="-3"/>
          <w:w w:val="95"/>
          <w:lang w:eastAsia="fr-FR"/>
        </w:rPr>
        <w:t>)</w:t>
      </w:r>
    </w:p>
    <w:p w14:paraId="74A93361"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Dont immobilier, locaux, terrains, infrastructures : </w:t>
      </w:r>
    </w:p>
    <w:p w14:paraId="1A2500B5"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toutes constructions/réhabilitations de bâtiments, bureaux, écoles, hôpitaux, hangars, etc. ;</w:t>
      </w:r>
    </w:p>
    <w:p w14:paraId="1898EBF5"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terrains pour la mise en œuvre du projet/programme ;</w:t>
      </w:r>
    </w:p>
    <w:p w14:paraId="3DA0E56E"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toutes infrastructures économiques : pistes, routes, ponts, aménagements hydro-agricoles, etc. ;</w:t>
      </w:r>
    </w:p>
    <w:p w14:paraId="608E751D"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locaux construits </w:t>
      </w:r>
    </w:p>
    <w:p w14:paraId="542FD6AA" w14:textId="77777777" w:rsidR="00776E6D" w:rsidRPr="00A42B98" w:rsidRDefault="00776E6D" w:rsidP="00776E6D">
      <w:pPr>
        <w:keepNext/>
        <w:numPr>
          <w:ilvl w:val="0"/>
          <w:numId w:val="3"/>
        </w:numPr>
        <w:spacing w:after="0" w:line="276" w:lineRule="auto"/>
        <w:ind w:hanging="357"/>
        <w:contextualSpacing/>
        <w:jc w:val="both"/>
        <w:rPr>
          <w:rFonts w:ascii="Century Gothic" w:eastAsia="Cambria" w:hAnsi="Century Gothic" w:cs="Calibri"/>
        </w:rPr>
      </w:pPr>
      <w:r w:rsidRPr="00A42B98">
        <w:rPr>
          <w:rFonts w:ascii="Century Gothic" w:eastAsia="Cambria" w:hAnsi="Century Gothic" w:cs="Calibri"/>
        </w:rPr>
        <w:t xml:space="preserve">Dont équipements techniques et véhicules  </w:t>
      </w:r>
    </w:p>
    <w:p w14:paraId="4A4B1EA2" w14:textId="77777777" w:rsidR="00776E6D" w:rsidRPr="00A42B98" w:rsidRDefault="00776E6D" w:rsidP="00776E6D">
      <w:pPr>
        <w:keepNext/>
        <w:numPr>
          <w:ilvl w:val="1"/>
          <w:numId w:val="3"/>
        </w:numPr>
        <w:spacing w:after="0" w:line="276" w:lineRule="auto"/>
        <w:ind w:hanging="357"/>
        <w:contextualSpacing/>
        <w:jc w:val="both"/>
        <w:rPr>
          <w:rFonts w:ascii="Century Gothic" w:eastAsia="Cambria" w:hAnsi="Century Gothic" w:cs="Calibri"/>
        </w:rPr>
      </w:pPr>
      <w:r w:rsidRPr="00A42B98">
        <w:rPr>
          <w:rFonts w:ascii="Century Gothic" w:eastAsia="Cambria" w:hAnsi="Century Gothic" w:cs="Calibri"/>
        </w:rPr>
        <w:t>équipement : micro-ordinateurs, imprimantes, logiciels, vidéo- projecteurs, appareils photos, etc. ;</w:t>
      </w:r>
    </w:p>
    <w:p w14:paraId="3EE315C0"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équipement agricole : outillage agricole, matériel de récolte, motoculteurs, tracteurs, etc. ;</w:t>
      </w:r>
    </w:p>
    <w:p w14:paraId="28C64BFB"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équipement industriel : machines diverses y compris les engins des TP ;</w:t>
      </w:r>
    </w:p>
    <w:p w14:paraId="5A5D9EDE"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équipement des institutions d’enseignement techniques, les centres de radio-télévision, etc. ;</w:t>
      </w:r>
    </w:p>
    <w:p w14:paraId="54A49DD0"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matériel médico-chirurgical, petit matériel nécessaire à la médecine ;</w:t>
      </w:r>
    </w:p>
    <w:p w14:paraId="4A47155F"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outillage artisans, PME ;</w:t>
      </w:r>
    </w:p>
    <w:p w14:paraId="240BAB11"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véhicules : voitures de ville, voitures spécialisées, véhicules à deux roues ;</w:t>
      </w:r>
    </w:p>
    <w:p w14:paraId="6EAE5E93"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autres matériels de transport : bateaux, barques de pêche, pirogues, etc.</w:t>
      </w:r>
    </w:p>
    <w:p w14:paraId="326F1E78" w14:textId="17913E10"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autres équipements directement liés au projet/programme</w:t>
      </w:r>
    </w:p>
    <w:p w14:paraId="3A06B64B" w14:textId="56D8D4C1" w:rsidR="009B53E0" w:rsidRPr="00790F8D" w:rsidRDefault="009B53E0" w:rsidP="00776E6D">
      <w:pPr>
        <w:numPr>
          <w:ilvl w:val="1"/>
          <w:numId w:val="3"/>
        </w:numPr>
        <w:spacing w:after="0" w:line="276" w:lineRule="auto"/>
        <w:contextualSpacing/>
        <w:jc w:val="both"/>
        <w:rPr>
          <w:rFonts w:ascii="Century Gothic" w:eastAsia="Cambria" w:hAnsi="Century Gothic" w:cs="Calibri"/>
        </w:rPr>
      </w:pPr>
      <w:r w:rsidRPr="00790F8D">
        <w:rPr>
          <w:rFonts w:ascii="Century Gothic" w:eastAsia="Cambria" w:hAnsi="Century Gothic" w:cs="Calibri"/>
        </w:rPr>
        <w:t>logiciel de filtrage (suite aux nouvelles directives de filtrage de l’Etat français)</w:t>
      </w:r>
    </w:p>
    <w:p w14:paraId="6BF0BF2D"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mobilier : mobilier, réfrigérateurs, climatiseurs, mobiliers de bureau, etc. ;</w:t>
      </w:r>
    </w:p>
    <w:p w14:paraId="0DE31C88" w14:textId="77777777" w:rsidR="00776E6D" w:rsidRPr="00A42B98" w:rsidRDefault="00776E6D" w:rsidP="00776E6D">
      <w:pPr>
        <w:spacing w:before="82" w:after="0" w:line="240" w:lineRule="auto"/>
        <w:jc w:val="both"/>
        <w:rPr>
          <w:rFonts w:ascii="Century Gothic" w:eastAsia="Times New Roman" w:hAnsi="Century Gothic" w:cs="Times New Roman"/>
          <w:lang w:eastAsia="fr-FR"/>
        </w:rPr>
      </w:pPr>
    </w:p>
    <w:p w14:paraId="5CCA588F" w14:textId="77777777" w:rsidR="00776E6D" w:rsidRPr="00A20555" w:rsidRDefault="00776E6D" w:rsidP="00776E6D">
      <w:pPr>
        <w:spacing w:before="88" w:after="0" w:line="242" w:lineRule="auto"/>
        <w:jc w:val="both"/>
        <w:rPr>
          <w:rFonts w:ascii="Century Gothic" w:eastAsia="Cambria" w:hAnsi="Century Gothic" w:cs="Calibri"/>
          <w:b/>
        </w:rPr>
      </w:pPr>
      <w:r w:rsidRPr="00A20555">
        <w:rPr>
          <w:rFonts w:ascii="Century Gothic" w:eastAsia="Cambria" w:hAnsi="Century Gothic" w:cs="Calibri"/>
          <w:b/>
        </w:rPr>
        <w:t xml:space="preserve"> Rubrique 2 :  Frais de services, achats et locations</w:t>
      </w:r>
    </w:p>
    <w:p w14:paraId="59B446E8"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intrants, matières premières, marchandises et autres approvisionnements :</w:t>
      </w:r>
    </w:p>
    <w:p w14:paraId="74110DC4"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lastRenderedPageBreak/>
        <w:t>Intrants industriels : toutes les fournitures destinées à des processus TPE, PMI ou artisanat, de constructions ou de services qui ne sont pas listées ailleurs.</w:t>
      </w:r>
    </w:p>
    <w:p w14:paraId="4D4A1017"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Intrants agricoles : engrais, produits phytosanitaires, semences, vaccins et médicaments pour animaux…</w:t>
      </w:r>
    </w:p>
    <w:p w14:paraId="2D580DCF"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Pièces détachées et réparations des véhicules et engins nécessaires au projet/programme.</w:t>
      </w:r>
    </w:p>
    <w:p w14:paraId="261694AB"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Médicaments et consommables médicaux destinés à la médecine : tous les médicaments, vaccins, etc.</w:t>
      </w:r>
    </w:p>
    <w:p w14:paraId="4B522F20"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Dont fournitures et consommables : </w:t>
      </w:r>
    </w:p>
    <w:p w14:paraId="2AE6B1A6"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Fluides et énergie : eau, énergie, carburant… </w:t>
      </w:r>
    </w:p>
    <w:p w14:paraId="6F39EAAB"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Fournitures de bureau (papier, crayon, encre, etc.).</w:t>
      </w:r>
    </w:p>
    <w:p w14:paraId="1BEC9942" w14:textId="77777777" w:rsidR="00776E6D" w:rsidRPr="00A42B98" w:rsidRDefault="00776E6D" w:rsidP="00776E6D">
      <w:pPr>
        <w:numPr>
          <w:ilvl w:val="1"/>
          <w:numId w:val="3"/>
        </w:numPr>
        <w:spacing w:after="0" w:line="276" w:lineRule="auto"/>
        <w:contextualSpacing/>
        <w:jc w:val="both"/>
        <w:rPr>
          <w:rFonts w:ascii="Century Gothic" w:eastAsia="Cambria" w:hAnsi="Century Gothic" w:cs="Times New Roman"/>
          <w:w w:val="90"/>
        </w:rPr>
      </w:pPr>
      <w:r w:rsidRPr="00A42B98">
        <w:rPr>
          <w:rFonts w:ascii="Century Gothic" w:eastAsia="Cambria" w:hAnsi="Century Gothic" w:cs="Calibri"/>
        </w:rPr>
        <w:t>Fournitures pour activités</w:t>
      </w:r>
      <w:r w:rsidRPr="00A42B98">
        <w:rPr>
          <w:rFonts w:ascii="Century Gothic" w:eastAsia="Cambria" w:hAnsi="Century Gothic" w:cs="Times New Roman"/>
          <w:w w:val="90"/>
        </w:rPr>
        <w:t xml:space="preserve"> </w:t>
      </w:r>
    </w:p>
    <w:p w14:paraId="5EC04B9F"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locations (hors leasing</w:t>
      </w:r>
      <w:r w:rsidRPr="00A42B98">
        <w:rPr>
          <w:rFonts w:ascii="Century Gothic" w:eastAsia="Cambria" w:hAnsi="Century Gothic" w:cs="Calibri"/>
          <w:vertAlign w:val="superscript"/>
        </w:rPr>
        <w:t>1</w:t>
      </w:r>
      <w:r w:rsidRPr="00A42B98">
        <w:rPr>
          <w:rFonts w:ascii="Century Gothic" w:eastAsia="Cambria" w:hAnsi="Century Gothic" w:cs="Calibri"/>
        </w:rPr>
        <w:t xml:space="preserve">): </w:t>
      </w:r>
    </w:p>
    <w:p w14:paraId="1221FA04"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Bureaux, salles de formation, véhicules </w:t>
      </w:r>
    </w:p>
    <w:p w14:paraId="3C812A78" w14:textId="2C8BD492"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frais de documentation</w:t>
      </w:r>
      <w:r w:rsidR="00205554" w:rsidRPr="00A42B98">
        <w:rPr>
          <w:rFonts w:ascii="Century Gothic" w:eastAsia="Cambria" w:hAnsi="Century Gothic" w:cs="Calibri"/>
        </w:rPr>
        <w:t>, de publication et de diffusion</w:t>
      </w:r>
      <w:r w:rsidRPr="00A42B98">
        <w:rPr>
          <w:rFonts w:ascii="Century Gothic" w:eastAsia="Cambria" w:hAnsi="Century Gothic" w:cs="Calibri"/>
        </w:rPr>
        <w:t xml:space="preserve"> : livres, documentation scientifique, documents audiovisuels, films, expositions, etc.</w:t>
      </w:r>
    </w:p>
    <w:p w14:paraId="42470E37"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autres achats et services extérieurs : affranchissement, abonnement internet, abonnement téléphonique, hébergement site internet, assurances, frais d’adhésion, etc. ;</w:t>
      </w:r>
    </w:p>
    <w:p w14:paraId="3AF93EE7" w14:textId="77777777" w:rsidR="00776E6D" w:rsidRPr="00A42B98" w:rsidRDefault="00776E6D" w:rsidP="00776E6D">
      <w:pPr>
        <w:spacing w:before="82" w:after="0" w:line="240" w:lineRule="auto"/>
        <w:jc w:val="both"/>
        <w:rPr>
          <w:rFonts w:ascii="Century Gothic" w:eastAsia="Times New Roman" w:hAnsi="Century Gothic" w:cs="Times New Roman"/>
          <w:lang w:eastAsia="fr-FR"/>
        </w:rPr>
      </w:pPr>
    </w:p>
    <w:p w14:paraId="06EF057A" w14:textId="77777777" w:rsidR="00776E6D" w:rsidRPr="00790F8D" w:rsidRDefault="00776E6D" w:rsidP="00776E6D">
      <w:pPr>
        <w:spacing w:before="88" w:after="0" w:line="242" w:lineRule="auto"/>
        <w:jc w:val="both"/>
        <w:rPr>
          <w:rFonts w:ascii="Century Gothic" w:eastAsia="Times New Roman" w:hAnsi="Century Gothic" w:cs="Times New Roman"/>
          <w:b/>
          <w:spacing w:val="-3"/>
          <w:w w:val="95"/>
          <w:lang w:eastAsia="fr-FR"/>
        </w:rPr>
      </w:pPr>
      <w:r w:rsidRPr="00A20555">
        <w:rPr>
          <w:rFonts w:ascii="Century Gothic" w:eastAsia="Cambria" w:hAnsi="Century Gothic" w:cs="Calibri"/>
          <w:b/>
        </w:rPr>
        <w:t>Rubrique 3 :</w:t>
      </w:r>
      <w:r w:rsidRPr="00790F8D">
        <w:rPr>
          <w:rFonts w:ascii="Century Gothic" w:eastAsia="Times New Roman" w:hAnsi="Century Gothic" w:cs="Times New Roman"/>
          <w:b/>
          <w:spacing w:val="-3"/>
          <w:w w:val="95"/>
          <w:lang w:eastAsia="fr-FR"/>
        </w:rPr>
        <w:t xml:space="preserve"> Frais </w:t>
      </w:r>
      <w:r w:rsidR="00CB36E8" w:rsidRPr="00790F8D">
        <w:rPr>
          <w:rFonts w:ascii="Century Gothic" w:eastAsia="Times New Roman" w:hAnsi="Century Gothic" w:cs="Times New Roman"/>
          <w:b/>
          <w:spacing w:val="-3"/>
          <w:w w:val="95"/>
          <w:lang w:eastAsia="fr-FR"/>
        </w:rPr>
        <w:t>d’études</w:t>
      </w:r>
      <w:r w:rsidR="002D0BC7" w:rsidRPr="00790F8D">
        <w:rPr>
          <w:rFonts w:ascii="Century Gothic" w:eastAsia="Times New Roman" w:hAnsi="Century Gothic" w:cs="Times New Roman"/>
          <w:b/>
          <w:spacing w:val="-3"/>
          <w:w w:val="95"/>
          <w:lang w:eastAsia="fr-FR"/>
        </w:rPr>
        <w:t>, de consultance</w:t>
      </w:r>
      <w:r w:rsidR="00CB36E8" w:rsidRPr="00790F8D">
        <w:rPr>
          <w:rFonts w:ascii="Century Gothic" w:eastAsia="Times New Roman" w:hAnsi="Century Gothic" w:cs="Times New Roman"/>
          <w:b/>
          <w:spacing w:val="-3"/>
          <w:w w:val="95"/>
          <w:lang w:eastAsia="fr-FR"/>
        </w:rPr>
        <w:t xml:space="preserve"> et de </w:t>
      </w:r>
      <w:r w:rsidRPr="00790F8D">
        <w:rPr>
          <w:rFonts w:ascii="Century Gothic" w:eastAsia="Times New Roman" w:hAnsi="Century Gothic" w:cs="Times New Roman"/>
          <w:b/>
          <w:spacing w:val="-3"/>
          <w:w w:val="95"/>
          <w:lang w:eastAsia="fr-FR"/>
        </w:rPr>
        <w:t>prestations externes</w:t>
      </w:r>
      <w:r w:rsidR="002D0BC7" w:rsidRPr="00790F8D">
        <w:rPr>
          <w:rFonts w:ascii="Century Gothic" w:eastAsia="Times New Roman" w:hAnsi="Century Gothic" w:cs="Times New Roman"/>
          <w:b/>
          <w:spacing w:val="-3"/>
          <w:w w:val="95"/>
          <w:lang w:eastAsia="fr-FR"/>
        </w:rPr>
        <w:t xml:space="preserve"> (dont évaluation, audit)</w:t>
      </w:r>
    </w:p>
    <w:p w14:paraId="1AB1DFD5" w14:textId="77777777" w:rsidR="002D0BC7" w:rsidRPr="00A42B98" w:rsidRDefault="002D0BC7" w:rsidP="002D0BC7">
      <w:pPr>
        <w:numPr>
          <w:ilvl w:val="0"/>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 xml:space="preserve">Dont frais de services spécifiques au projet : </w:t>
      </w:r>
    </w:p>
    <w:p w14:paraId="34E49EEF"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Prestations de restauration, de gardiennage, d’entretien, de maintenance…</w:t>
      </w:r>
    </w:p>
    <w:p w14:paraId="41B20546"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Rédaction, graphisme, impression, diffusion ;</w:t>
      </w:r>
    </w:p>
    <w:p w14:paraId="65812F16"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Frais d’agence de communication ;</w:t>
      </w:r>
    </w:p>
    <w:p w14:paraId="27F844F9"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color w:val="000000" w:themeColor="text1"/>
        </w:rPr>
        <w:t>Relation presse</w:t>
      </w:r>
    </w:p>
    <w:p w14:paraId="7A7AC019"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prestations externes spécifiques au projet : experts honorariés, sous-traitance, études techniques…</w:t>
      </w:r>
    </w:p>
    <w:p w14:paraId="52286F66"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Honoraires et frais facturés par des bureaux d’études, autres OSC ou consultants extérieurs à l’OSC française porteuse du projet/programme et à son/ses partenaire(s) local(aux), pour des prestations en sous-traitance (mise en œuvre d’activités prévues), des prestations d’études techniques, des prestations d’analyse, de conseil ou d’appui (juridique, comptable, appui à la rédaction de TDR, etc.), des prestations de capitalisation et d’échanges des savoirs et acquis dans le cadre du projet / programme.</w:t>
      </w:r>
    </w:p>
    <w:p w14:paraId="744680AE"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évaluation externe</w:t>
      </w:r>
    </w:p>
    <w:p w14:paraId="4FC3913D" w14:textId="5ADC5DDA" w:rsidR="00776E6D" w:rsidRPr="00A42B98" w:rsidRDefault="00776E6D" w:rsidP="00776E6D">
      <w:pPr>
        <w:numPr>
          <w:ilvl w:val="1"/>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Honoraires et frais facturés par des bureaux d’études, autres OSC ou consultants extérieurs à l’OSC française porteuse du projet/programme et à son/ses partenaire(s) local(aux) pour la réalisation de l’évaluat</w:t>
      </w:r>
      <w:r w:rsidR="00A215BD" w:rsidRPr="00A42B98">
        <w:rPr>
          <w:rFonts w:ascii="Century Gothic" w:eastAsia="Cambria" w:hAnsi="Century Gothic" w:cs="Calibri"/>
        </w:rPr>
        <w:t>ion externe du projet/programme.</w:t>
      </w:r>
    </w:p>
    <w:p w14:paraId="1CA7BF15" w14:textId="7E62E995" w:rsidR="00776E6D" w:rsidRPr="00790F8D"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audit externe</w:t>
      </w:r>
      <w:r w:rsidR="00205554" w:rsidRPr="00790F8D">
        <w:rPr>
          <w:rFonts w:ascii="Century Gothic" w:eastAsia="Cambria" w:hAnsi="Century Gothic" w:cs="Calibri"/>
        </w:rPr>
        <w:t xml:space="preserve"> (</w:t>
      </w:r>
      <w:r w:rsidR="00260FBF" w:rsidRPr="00790F8D">
        <w:rPr>
          <w:rFonts w:ascii="Century Gothic" w:eastAsia="Cambria" w:hAnsi="Century Gothic" w:cs="Calibri"/>
        </w:rPr>
        <w:t>obligatoire</w:t>
      </w:r>
      <w:r w:rsidR="00205554" w:rsidRPr="00790F8D">
        <w:rPr>
          <w:rFonts w:ascii="Century Gothic" w:eastAsia="Cambria" w:hAnsi="Century Gothic" w:cs="Calibri"/>
        </w:rPr>
        <w:t xml:space="preserve"> pour tous les projets)</w:t>
      </w:r>
    </w:p>
    <w:p w14:paraId="7E44D9D9" w14:textId="77777777" w:rsidR="00A215BD" w:rsidRPr="00A42B98" w:rsidRDefault="00776E6D" w:rsidP="00296035">
      <w:pPr>
        <w:numPr>
          <w:ilvl w:val="1"/>
          <w:numId w:val="3"/>
        </w:numPr>
        <w:spacing w:before="90" w:after="0" w:line="247" w:lineRule="auto"/>
        <w:contextualSpacing/>
        <w:jc w:val="both"/>
        <w:rPr>
          <w:rFonts w:ascii="Century Gothic" w:eastAsia="Cambria" w:hAnsi="Century Gothic" w:cs="Calibri"/>
        </w:rPr>
      </w:pPr>
      <w:r w:rsidRPr="00A42B98">
        <w:rPr>
          <w:rFonts w:ascii="Century Gothic" w:eastAsia="Cambria" w:hAnsi="Century Gothic" w:cs="Calibri"/>
        </w:rPr>
        <w:t>Honor</w:t>
      </w:r>
      <w:r w:rsidR="00A215BD" w:rsidRPr="00A42B98">
        <w:rPr>
          <w:rFonts w:ascii="Century Gothic" w:eastAsia="Cambria" w:hAnsi="Century Gothic" w:cs="Calibri"/>
        </w:rPr>
        <w:t>aires et frais facturés par l’auditeur sélectionné.</w:t>
      </w:r>
    </w:p>
    <w:p w14:paraId="5C7B1FCA" w14:textId="77777777" w:rsidR="00A215BD" w:rsidRPr="00A42B98" w:rsidRDefault="00A215BD" w:rsidP="00A215BD">
      <w:pPr>
        <w:spacing w:before="90" w:after="0" w:line="247" w:lineRule="auto"/>
        <w:ind w:left="1440"/>
        <w:contextualSpacing/>
        <w:jc w:val="both"/>
        <w:rPr>
          <w:rFonts w:ascii="Century Gothic" w:eastAsia="Cambria" w:hAnsi="Century Gothic" w:cs="Calibri"/>
        </w:rPr>
      </w:pPr>
    </w:p>
    <w:p w14:paraId="47EF88F1" w14:textId="77A5D890" w:rsidR="00776E6D" w:rsidRPr="004903F4" w:rsidRDefault="00776E6D" w:rsidP="00A215BD">
      <w:pPr>
        <w:spacing w:before="90" w:after="0" w:line="247" w:lineRule="auto"/>
        <w:contextualSpacing/>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lastRenderedPageBreak/>
        <w:t xml:space="preserve">Les dépenses listées dans cette rubrique </w:t>
      </w:r>
      <w:r w:rsidR="00E07620" w:rsidRPr="004903F4">
        <w:rPr>
          <w:rFonts w:ascii="Century Gothic" w:eastAsia="Times New Roman" w:hAnsi="Century Gothic" w:cs="Times New Roman"/>
          <w:lang w:eastAsia="fr-FR"/>
        </w:rPr>
        <w:t xml:space="preserve">3 </w:t>
      </w:r>
      <w:r w:rsidRPr="004903F4">
        <w:rPr>
          <w:rFonts w:ascii="Century Gothic" w:eastAsia="Times New Roman" w:hAnsi="Century Gothic" w:cs="Times New Roman"/>
          <w:lang w:eastAsia="fr-FR"/>
        </w:rPr>
        <w:t>concernent des prestations réalisées par du personnel externe international ou local (extérieur à l’association française et à son/ses partenaire(s) local(aux)) qui facturera des honoraires et/ou des frais de transport pour les voyages internationaux et les déplacements locaux et/ou des frais de séjour et/ou des per diem. Elles ne sont en aucun cas des charges de personnel internes à l’association française et à son/ses partenaire(s).</w:t>
      </w:r>
    </w:p>
    <w:p w14:paraId="4B656097" w14:textId="77777777" w:rsidR="00776E6D" w:rsidRPr="00A42B98" w:rsidRDefault="00776E6D" w:rsidP="00776E6D">
      <w:pPr>
        <w:tabs>
          <w:tab w:val="left" w:pos="544"/>
        </w:tabs>
        <w:spacing w:before="88" w:after="0" w:line="242" w:lineRule="auto"/>
        <w:jc w:val="both"/>
        <w:rPr>
          <w:rFonts w:ascii="Century Gothic" w:eastAsia="Times New Roman" w:hAnsi="Century Gothic" w:cs="Times New Roman"/>
          <w:w w:val="90"/>
          <w:lang w:eastAsia="fr-FR"/>
        </w:rPr>
      </w:pPr>
    </w:p>
    <w:p w14:paraId="0B374EEF" w14:textId="08655718" w:rsidR="00776E6D" w:rsidRPr="00A20555" w:rsidRDefault="00776E6D" w:rsidP="00776E6D">
      <w:pPr>
        <w:spacing w:before="88" w:after="0" w:line="242" w:lineRule="auto"/>
        <w:jc w:val="both"/>
        <w:rPr>
          <w:rFonts w:ascii="Century Gothic" w:eastAsia="Cambria" w:hAnsi="Century Gothic" w:cs="Calibri"/>
          <w:b/>
        </w:rPr>
      </w:pPr>
      <w:r w:rsidRPr="00A20555">
        <w:rPr>
          <w:rFonts w:ascii="Century Gothic" w:eastAsia="Cambria" w:hAnsi="Century Gothic" w:cs="Calibri"/>
          <w:b/>
        </w:rPr>
        <w:t xml:space="preserve">Rubrique 4 : Frais de voyages, de déplacements et de mission </w:t>
      </w:r>
      <w:r w:rsidR="009B53E0" w:rsidRPr="00A20555">
        <w:rPr>
          <w:rFonts w:ascii="Century Gothic" w:eastAsia="Cambria" w:hAnsi="Century Gothic" w:cs="Calibri"/>
          <w:b/>
        </w:rPr>
        <w:t>liés au projet</w:t>
      </w:r>
    </w:p>
    <w:p w14:paraId="05DF3BCD"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Déplacements internationaux (billets d’avion, visas, etc.).</w:t>
      </w:r>
    </w:p>
    <w:p w14:paraId="6005E13E"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Déplacements locaux (taxi, train, avion, etc.…)</w:t>
      </w:r>
    </w:p>
    <w:p w14:paraId="567A9B7B" w14:textId="4EED0FDC"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Frais de mission (repas, hébergement, per diem) en lien avec le projet, pour les déplacements sur le terrain, frais de comité pilotage, de suivi, etc.</w:t>
      </w:r>
    </w:p>
    <w:p w14:paraId="38ABAB61" w14:textId="778657B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 xml:space="preserve">Les dépenses listées dans cette rubrique concernent uniquement des frais </w:t>
      </w:r>
      <w:r w:rsidR="009B53E0" w:rsidRPr="004903F4">
        <w:rPr>
          <w:rFonts w:ascii="Century Gothic" w:eastAsia="Times New Roman" w:hAnsi="Century Gothic" w:cs="Times New Roman"/>
          <w:lang w:eastAsia="fr-FR"/>
        </w:rPr>
        <w:t xml:space="preserve">de mission liés au projet et payés par </w:t>
      </w:r>
      <w:r w:rsidRPr="004903F4">
        <w:rPr>
          <w:rFonts w:ascii="Century Gothic" w:eastAsia="Times New Roman" w:hAnsi="Century Gothic" w:cs="Times New Roman"/>
          <w:lang w:eastAsia="fr-FR"/>
        </w:rPr>
        <w:t>l’OSC et/ou son/ses partenaire(s). Les frais de mission ou de déplacement facturés par des prestataires ou sous-traitants extérieu</w:t>
      </w:r>
      <w:r w:rsidR="00054F55" w:rsidRPr="004903F4">
        <w:rPr>
          <w:rFonts w:ascii="Century Gothic" w:eastAsia="Times New Roman" w:hAnsi="Century Gothic" w:cs="Times New Roman"/>
          <w:lang w:eastAsia="fr-FR"/>
        </w:rPr>
        <w:t>rs seront inscrits en rubrique 3</w:t>
      </w:r>
      <w:r w:rsidRPr="004903F4">
        <w:rPr>
          <w:rFonts w:ascii="Century Gothic" w:eastAsia="Times New Roman" w:hAnsi="Century Gothic" w:cs="Times New Roman"/>
          <w:lang w:eastAsia="fr-FR"/>
        </w:rPr>
        <w:t>.</w:t>
      </w:r>
    </w:p>
    <w:p w14:paraId="2CDA7F15" w14:textId="77777777" w:rsidR="00776E6D" w:rsidRPr="00A42B98" w:rsidRDefault="00776E6D" w:rsidP="00776E6D">
      <w:pPr>
        <w:spacing w:before="88" w:after="0" w:line="242" w:lineRule="auto"/>
        <w:jc w:val="both"/>
        <w:rPr>
          <w:rFonts w:ascii="Century Gothic" w:eastAsia="Times New Roman" w:hAnsi="Century Gothic" w:cs="Times New Roman"/>
          <w:b/>
          <w:color w:val="347E9F"/>
          <w:spacing w:val="-3"/>
          <w:w w:val="95"/>
          <w:lang w:eastAsia="fr-FR"/>
        </w:rPr>
      </w:pPr>
    </w:p>
    <w:p w14:paraId="554A101C" w14:textId="15F68D8D" w:rsidR="00776E6D" w:rsidRPr="00790F8D" w:rsidRDefault="00776E6D" w:rsidP="00E7571A">
      <w:pPr>
        <w:spacing w:before="88" w:after="0" w:line="242" w:lineRule="auto"/>
        <w:jc w:val="both"/>
        <w:rPr>
          <w:rFonts w:ascii="Century Gothic" w:eastAsia="Times New Roman" w:hAnsi="Century Gothic" w:cs="Times New Roman"/>
          <w:b/>
          <w:spacing w:val="-3"/>
          <w:w w:val="95"/>
          <w:lang w:eastAsia="fr-FR"/>
        </w:rPr>
      </w:pPr>
      <w:r w:rsidRPr="00A20555">
        <w:rPr>
          <w:rFonts w:ascii="Century Gothic" w:eastAsia="Cambria" w:hAnsi="Century Gothic" w:cs="Calibri"/>
          <w:b/>
        </w:rPr>
        <w:t>Rubrique 5</w:t>
      </w:r>
      <w:r w:rsidRPr="00A42B98">
        <w:rPr>
          <w:rFonts w:ascii="Century Gothic" w:eastAsia="Times New Roman" w:hAnsi="Century Gothic" w:cs="Times New Roman"/>
          <w:b/>
          <w:color w:val="347E9F"/>
          <w:spacing w:val="-3"/>
          <w:w w:val="95"/>
          <w:lang w:eastAsia="fr-FR"/>
        </w:rPr>
        <w:t xml:space="preserve"> </w:t>
      </w:r>
      <w:r w:rsidRPr="00A20555">
        <w:rPr>
          <w:rFonts w:ascii="Century Gothic" w:eastAsia="Cambria" w:hAnsi="Century Gothic" w:cs="Calibri"/>
          <w:b/>
        </w:rPr>
        <w:t>:</w:t>
      </w:r>
      <w:r w:rsidRPr="00A42B98">
        <w:rPr>
          <w:rFonts w:ascii="Century Gothic" w:eastAsia="Times New Roman" w:hAnsi="Century Gothic" w:cs="Times New Roman"/>
          <w:b/>
          <w:color w:val="347E9F"/>
          <w:spacing w:val="-3"/>
          <w:w w:val="95"/>
          <w:lang w:eastAsia="fr-FR"/>
        </w:rPr>
        <w:t xml:space="preserve"> </w:t>
      </w:r>
      <w:r w:rsidRPr="00790F8D">
        <w:rPr>
          <w:rFonts w:ascii="Century Gothic" w:eastAsia="Times New Roman" w:hAnsi="Century Gothic" w:cs="Times New Roman"/>
          <w:b/>
          <w:spacing w:val="-3"/>
          <w:w w:val="95"/>
          <w:lang w:eastAsia="fr-FR"/>
        </w:rPr>
        <w:t>Activités non ventilables</w:t>
      </w:r>
      <w:r w:rsidR="009B53E0" w:rsidRPr="00790F8D">
        <w:rPr>
          <w:rFonts w:ascii="Century Gothic" w:eastAsia="Times New Roman" w:hAnsi="Century Gothic" w:cs="Times New Roman"/>
          <w:b/>
          <w:spacing w:val="-3"/>
          <w:w w:val="95"/>
          <w:lang w:eastAsia="fr-FR"/>
        </w:rPr>
        <w:t xml:space="preserve"> (hors coûts RH et honoraires)</w:t>
      </w:r>
    </w:p>
    <w:p w14:paraId="2EA106A8" w14:textId="77777777" w:rsidR="00E7571A" w:rsidRPr="00790F8D" w:rsidRDefault="00E7571A" w:rsidP="00E7571A">
      <w:pPr>
        <w:spacing w:before="88" w:after="0" w:line="242" w:lineRule="auto"/>
        <w:jc w:val="both"/>
        <w:rPr>
          <w:rFonts w:ascii="Century Gothic" w:eastAsia="Times New Roman" w:hAnsi="Century Gothic" w:cs="Times New Roman"/>
          <w:b/>
          <w:spacing w:val="-3"/>
          <w:w w:val="95"/>
          <w:lang w:eastAsia="fr-FR"/>
        </w:rPr>
      </w:pPr>
    </w:p>
    <w:p w14:paraId="5FFFF605" w14:textId="789C44A2" w:rsidR="00776E6D" w:rsidRPr="00790F8D" w:rsidRDefault="00776E6D" w:rsidP="00776E6D">
      <w:pPr>
        <w:spacing w:before="3" w:after="0" w:line="242" w:lineRule="auto"/>
        <w:jc w:val="both"/>
        <w:rPr>
          <w:rFonts w:ascii="Century Gothic" w:eastAsia="Times New Roman" w:hAnsi="Century Gothic" w:cs="Times New Roman"/>
          <w:lang w:eastAsia="fr-FR"/>
        </w:rPr>
      </w:pPr>
      <w:r w:rsidRPr="00790F8D">
        <w:rPr>
          <w:rFonts w:ascii="Century Gothic" w:eastAsia="Times New Roman" w:hAnsi="Century Gothic" w:cs="Times New Roman"/>
          <w:lang w:eastAsia="fr-FR"/>
        </w:rPr>
        <w:t>Les dépenses listées dans cette rubrique « Activités » concernent des frais de l’OSC et/ou son/ses partenaire(s) qu’il est difficile de ventiler dans les autres rubriques ; elles doivent donc être limitées en volume et pouvoir être justifiées précisément</w:t>
      </w:r>
      <w:r w:rsidR="00B551AF" w:rsidRPr="00790F8D">
        <w:rPr>
          <w:rFonts w:ascii="Century Gothic" w:eastAsia="Times New Roman" w:hAnsi="Century Gothic" w:cs="Times New Roman"/>
          <w:lang w:eastAsia="fr-FR"/>
        </w:rPr>
        <w:t>.</w:t>
      </w:r>
    </w:p>
    <w:p w14:paraId="798E001E" w14:textId="7EC012DB" w:rsidR="00776E6D" w:rsidRPr="00790F8D" w:rsidRDefault="00776E6D" w:rsidP="00776E6D">
      <w:pPr>
        <w:spacing w:before="3" w:after="0" w:line="242" w:lineRule="auto"/>
        <w:jc w:val="both"/>
        <w:rPr>
          <w:rFonts w:ascii="Century Gothic" w:eastAsia="Times New Roman" w:hAnsi="Century Gothic" w:cs="Times New Roman"/>
          <w:lang w:eastAsia="fr-FR"/>
        </w:rPr>
      </w:pPr>
      <w:r w:rsidRPr="00790F8D">
        <w:rPr>
          <w:rFonts w:ascii="Century Gothic" w:eastAsia="Times New Roman" w:hAnsi="Century Gothic" w:cs="Times New Roman"/>
          <w:lang w:eastAsia="fr-FR"/>
        </w:rPr>
        <w:t>Le mode de calcul devra détailler les coûts affectés par ligne de dépenses de cette rubrique.</w:t>
      </w:r>
    </w:p>
    <w:p w14:paraId="57A78B17" w14:textId="7C63BC3F" w:rsidR="00776E6D" w:rsidRPr="00790F8D" w:rsidRDefault="00B551AF" w:rsidP="00776E6D">
      <w:pPr>
        <w:spacing w:before="3" w:after="0" w:line="242" w:lineRule="auto"/>
        <w:jc w:val="both"/>
        <w:rPr>
          <w:rFonts w:ascii="Century Gothic" w:eastAsia="Times New Roman" w:hAnsi="Century Gothic" w:cs="Times New Roman"/>
          <w:lang w:eastAsia="fr-FR"/>
        </w:rPr>
      </w:pPr>
      <w:r w:rsidRPr="00790F8D">
        <w:rPr>
          <w:rFonts w:ascii="Century Gothic" w:eastAsia="Times New Roman" w:hAnsi="Century Gothic" w:cs="Times New Roman"/>
          <w:lang w:eastAsia="fr-FR"/>
        </w:rPr>
        <w:t xml:space="preserve">Les </w:t>
      </w:r>
      <w:r w:rsidR="00776E6D" w:rsidRPr="00790F8D">
        <w:rPr>
          <w:rFonts w:ascii="Century Gothic" w:eastAsia="Times New Roman" w:hAnsi="Century Gothic" w:cs="Times New Roman"/>
          <w:lang w:eastAsia="fr-FR"/>
        </w:rPr>
        <w:t>dépense</w:t>
      </w:r>
      <w:r w:rsidRPr="00790F8D">
        <w:rPr>
          <w:rFonts w:ascii="Century Gothic" w:eastAsia="Times New Roman" w:hAnsi="Century Gothic" w:cs="Times New Roman"/>
          <w:lang w:eastAsia="fr-FR"/>
        </w:rPr>
        <w:t>s</w:t>
      </w:r>
      <w:r w:rsidR="00776E6D" w:rsidRPr="00790F8D">
        <w:rPr>
          <w:rFonts w:ascii="Century Gothic" w:eastAsia="Times New Roman" w:hAnsi="Century Gothic" w:cs="Times New Roman"/>
          <w:lang w:eastAsia="fr-FR"/>
        </w:rPr>
        <w:t xml:space="preserve"> liée</w:t>
      </w:r>
      <w:r w:rsidRPr="00790F8D">
        <w:rPr>
          <w:rFonts w:ascii="Century Gothic" w:eastAsia="Times New Roman" w:hAnsi="Century Gothic" w:cs="Times New Roman"/>
          <w:lang w:eastAsia="fr-FR"/>
        </w:rPr>
        <w:t>s</w:t>
      </w:r>
      <w:r w:rsidR="00776E6D" w:rsidRPr="00790F8D">
        <w:rPr>
          <w:rFonts w:ascii="Century Gothic" w:eastAsia="Times New Roman" w:hAnsi="Century Gothic" w:cs="Times New Roman"/>
          <w:lang w:eastAsia="fr-FR"/>
        </w:rPr>
        <w:t xml:space="preserve"> à la rubrique 1 « Immobilier, équipement technique et mobilier (ach</w:t>
      </w:r>
      <w:r w:rsidR="00054F55" w:rsidRPr="00790F8D">
        <w:rPr>
          <w:rFonts w:ascii="Century Gothic" w:eastAsia="Times New Roman" w:hAnsi="Century Gothic" w:cs="Times New Roman"/>
          <w:lang w:eastAsia="fr-FR"/>
        </w:rPr>
        <w:t>a</w:t>
      </w:r>
      <w:r w:rsidR="00DC7501" w:rsidRPr="00790F8D">
        <w:rPr>
          <w:rFonts w:ascii="Century Gothic" w:eastAsia="Times New Roman" w:hAnsi="Century Gothic" w:cs="Times New Roman"/>
          <w:lang w:eastAsia="fr-FR"/>
        </w:rPr>
        <w:t>t ou location de type leasing)</w:t>
      </w:r>
      <w:r w:rsidRPr="00790F8D">
        <w:rPr>
          <w:rFonts w:ascii="Century Gothic" w:eastAsia="Times New Roman" w:hAnsi="Century Gothic" w:cs="Times New Roman"/>
          <w:lang w:eastAsia="fr-FR"/>
        </w:rPr>
        <w:t> »</w:t>
      </w:r>
      <w:r w:rsidR="00DC7501" w:rsidRPr="00790F8D">
        <w:rPr>
          <w:rFonts w:ascii="Century Gothic" w:eastAsia="Times New Roman" w:hAnsi="Century Gothic" w:cs="Times New Roman"/>
          <w:lang w:eastAsia="fr-FR"/>
        </w:rPr>
        <w:t>,</w:t>
      </w:r>
      <w:r w:rsidR="00054F55" w:rsidRPr="00790F8D">
        <w:rPr>
          <w:rFonts w:ascii="Century Gothic" w:eastAsia="Times New Roman" w:hAnsi="Century Gothic" w:cs="Times New Roman"/>
          <w:lang w:eastAsia="fr-FR"/>
        </w:rPr>
        <w:t xml:space="preserve"> à la rubrique 3 « Frais d’études, de consultance et de prestations externes » </w:t>
      </w:r>
      <w:r w:rsidR="00776E6D" w:rsidRPr="00790F8D">
        <w:rPr>
          <w:rFonts w:ascii="Century Gothic" w:eastAsia="Times New Roman" w:hAnsi="Century Gothic" w:cs="Times New Roman"/>
          <w:lang w:eastAsia="fr-FR"/>
        </w:rPr>
        <w:t xml:space="preserve">et à la rubrique </w:t>
      </w:r>
      <w:r w:rsidR="00E7571A" w:rsidRPr="00790F8D">
        <w:rPr>
          <w:rFonts w:ascii="Century Gothic" w:eastAsia="Times New Roman" w:hAnsi="Century Gothic" w:cs="Times New Roman"/>
          <w:lang w:eastAsia="fr-FR"/>
        </w:rPr>
        <w:t>6</w:t>
      </w:r>
      <w:r w:rsidR="00776E6D" w:rsidRPr="00790F8D">
        <w:rPr>
          <w:rFonts w:ascii="Century Gothic" w:eastAsia="Times New Roman" w:hAnsi="Century Gothic" w:cs="Times New Roman"/>
          <w:lang w:eastAsia="fr-FR"/>
        </w:rPr>
        <w:t xml:space="preserve"> : « Ressources humaines » </w:t>
      </w:r>
      <w:r w:rsidRPr="00790F8D">
        <w:rPr>
          <w:rFonts w:ascii="Century Gothic" w:eastAsia="Times New Roman" w:hAnsi="Century Gothic" w:cs="Times New Roman"/>
          <w:lang w:eastAsia="fr-FR"/>
        </w:rPr>
        <w:t>ne pourront</w:t>
      </w:r>
      <w:r w:rsidR="00776E6D" w:rsidRPr="00790F8D">
        <w:rPr>
          <w:rFonts w:ascii="Century Gothic" w:eastAsia="Times New Roman" w:hAnsi="Century Gothic" w:cs="Times New Roman"/>
          <w:lang w:eastAsia="fr-FR"/>
        </w:rPr>
        <w:t xml:space="preserve"> être imputée</w:t>
      </w:r>
      <w:r w:rsidRPr="00790F8D">
        <w:rPr>
          <w:rFonts w:ascii="Century Gothic" w:eastAsia="Times New Roman" w:hAnsi="Century Gothic" w:cs="Times New Roman"/>
          <w:lang w:eastAsia="fr-FR"/>
        </w:rPr>
        <w:t>s</w:t>
      </w:r>
      <w:r w:rsidR="00776E6D" w:rsidRPr="00790F8D">
        <w:rPr>
          <w:rFonts w:ascii="Century Gothic" w:eastAsia="Times New Roman" w:hAnsi="Century Gothic" w:cs="Times New Roman"/>
          <w:lang w:eastAsia="fr-FR"/>
        </w:rPr>
        <w:t xml:space="preserve"> dans cette rubrique</w:t>
      </w:r>
      <w:r w:rsidRPr="00790F8D">
        <w:rPr>
          <w:rFonts w:ascii="Century Gothic" w:eastAsia="Times New Roman" w:hAnsi="Century Gothic" w:cs="Times New Roman"/>
          <w:lang w:eastAsia="fr-FR"/>
        </w:rPr>
        <w:t>,</w:t>
      </w:r>
      <w:r w:rsidR="00C01398" w:rsidRPr="00790F8D">
        <w:rPr>
          <w:rFonts w:ascii="Century Gothic" w:eastAsia="Times New Roman" w:hAnsi="Century Gothic" w:cs="Times New Roman"/>
          <w:lang w:eastAsia="fr-FR"/>
        </w:rPr>
        <w:t xml:space="preserve"> (sauf exception)</w:t>
      </w:r>
      <w:r w:rsidR="00776E6D" w:rsidRPr="00790F8D">
        <w:rPr>
          <w:rFonts w:ascii="Century Gothic" w:eastAsia="Times New Roman" w:hAnsi="Century Gothic" w:cs="Times New Roman"/>
          <w:lang w:eastAsia="fr-FR"/>
        </w:rPr>
        <w:t>.</w:t>
      </w:r>
    </w:p>
    <w:p w14:paraId="518FC580" w14:textId="77777777" w:rsidR="00776E6D" w:rsidRPr="00A42B98" w:rsidRDefault="00776E6D" w:rsidP="00776E6D">
      <w:pPr>
        <w:tabs>
          <w:tab w:val="left" w:pos="544"/>
        </w:tabs>
        <w:spacing w:before="88" w:after="0" w:line="242" w:lineRule="auto"/>
        <w:jc w:val="both"/>
        <w:rPr>
          <w:rFonts w:ascii="Century Gothic" w:eastAsia="Times New Roman" w:hAnsi="Century Gothic" w:cs="Times New Roman"/>
          <w:color w:val="231F20"/>
          <w:w w:val="90"/>
          <w:lang w:eastAsia="fr-FR"/>
        </w:rPr>
      </w:pPr>
    </w:p>
    <w:p w14:paraId="139898AB" w14:textId="55C0F6C0" w:rsidR="00776E6D" w:rsidRPr="00A42B98" w:rsidRDefault="00CB36E8" w:rsidP="00776E6D">
      <w:pPr>
        <w:keepNext/>
        <w:spacing w:before="88" w:after="0" w:line="242" w:lineRule="auto"/>
        <w:jc w:val="both"/>
        <w:rPr>
          <w:rFonts w:ascii="Century Gothic" w:eastAsia="Times New Roman" w:hAnsi="Century Gothic" w:cs="Times New Roman"/>
          <w:b/>
          <w:color w:val="347E9F"/>
          <w:spacing w:val="-3"/>
          <w:w w:val="95"/>
          <w:lang w:eastAsia="fr-FR"/>
        </w:rPr>
      </w:pPr>
      <w:r w:rsidRPr="00A20555">
        <w:rPr>
          <w:rFonts w:ascii="Century Gothic" w:eastAsia="Cambria" w:hAnsi="Century Gothic" w:cs="Calibri"/>
          <w:b/>
        </w:rPr>
        <w:t>Rubrique 6</w:t>
      </w:r>
      <w:r w:rsidR="00776E6D" w:rsidRPr="00A20555">
        <w:rPr>
          <w:rFonts w:ascii="Century Gothic" w:eastAsia="Cambria" w:hAnsi="Century Gothic" w:cs="Calibri"/>
          <w:b/>
        </w:rPr>
        <w:t xml:space="preserve"> : Ressources humaines</w:t>
      </w:r>
      <w:r w:rsidR="00E33D68" w:rsidRPr="00A20555">
        <w:rPr>
          <w:rFonts w:ascii="Century Gothic" w:eastAsia="Cambria" w:hAnsi="Century Gothic" w:cs="Calibri"/>
          <w:b/>
        </w:rPr>
        <w:t xml:space="preserve"> </w:t>
      </w:r>
    </w:p>
    <w:p w14:paraId="61C1E4B3" w14:textId="77777777" w:rsidR="00D63194" w:rsidRPr="00D63194" w:rsidRDefault="00D63194" w:rsidP="00D63194">
      <w:pPr>
        <w:keepNext/>
        <w:spacing w:before="88" w:after="0" w:line="240" w:lineRule="auto"/>
        <w:jc w:val="both"/>
        <w:rPr>
          <w:rFonts w:ascii="Century Gothic" w:eastAsia="Times New Roman" w:hAnsi="Century Gothic" w:cs="Times New Roman"/>
          <w:color w:val="FF0000"/>
          <w:lang w:eastAsia="fr-FR"/>
        </w:rPr>
      </w:pPr>
      <w:r w:rsidRPr="00D63194">
        <w:rPr>
          <w:rFonts w:ascii="Century Gothic" w:eastAsia="Times New Roman" w:hAnsi="Century Gothic" w:cs="Times New Roman"/>
          <w:color w:val="FF0000"/>
          <w:lang w:eastAsia="fr-FR"/>
        </w:rPr>
        <w:t>Les 7 sous-totaux sont à remplir et la répartition détaillée des RH se fera dans l’onglet « Répartition RH » qui sera à actualiser globalement au moment de la remise du compte-rendu d’exécution intermédiaire et du compte-rendu d’exécution final.</w:t>
      </w:r>
    </w:p>
    <w:p w14:paraId="4EB5F29B" w14:textId="4F07080B" w:rsidR="00E33D68" w:rsidRPr="00A20555" w:rsidRDefault="00E33D68" w:rsidP="00776E6D">
      <w:pPr>
        <w:keepNext/>
        <w:spacing w:before="88" w:after="0" w:line="242" w:lineRule="auto"/>
        <w:jc w:val="both"/>
        <w:rPr>
          <w:rFonts w:ascii="Century Gothic" w:eastAsia="Cambria" w:hAnsi="Century Gothic" w:cs="Calibri"/>
          <w:b/>
        </w:rPr>
      </w:pPr>
      <w:r w:rsidRPr="00A20555">
        <w:rPr>
          <w:rFonts w:ascii="Century Gothic" w:eastAsia="Cambria" w:hAnsi="Century Gothic" w:cs="Calibri"/>
          <w:b/>
        </w:rPr>
        <w:t>Sont acceptés en coûts RH :</w:t>
      </w:r>
    </w:p>
    <w:p w14:paraId="60259171" w14:textId="6ECC8173" w:rsidR="00776E6D" w:rsidRPr="00A42B98" w:rsidRDefault="00E33D68"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du </w:t>
      </w:r>
      <w:r w:rsidR="00776E6D" w:rsidRPr="00A42B98">
        <w:rPr>
          <w:rFonts w:ascii="Century Gothic" w:eastAsia="Cambria" w:hAnsi="Century Gothic" w:cs="Calibri"/>
        </w:rPr>
        <w:t>personnel expatrié salarié : salaires, indemnités, cotisations sociales et autres éléments de rémunération liés au contrat de travail des personnels expatriés de l’OSC ou de son/ses partenaire(s) dédié(s) au projet</w:t>
      </w:r>
    </w:p>
    <w:p w14:paraId="1C49742B" w14:textId="368EF876" w:rsidR="00776E6D" w:rsidRPr="00A42B98" w:rsidRDefault="00E33D68"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du </w:t>
      </w:r>
      <w:r w:rsidR="00776E6D" w:rsidRPr="00A42B98">
        <w:rPr>
          <w:rFonts w:ascii="Century Gothic" w:eastAsia="Cambria" w:hAnsi="Century Gothic" w:cs="Calibri"/>
        </w:rPr>
        <w:t>personnel local salarié, indemnités, cotisations sociales et autres éléments de rémunération liés au contrat de travail des personnels locaux de l’OSC ou de son/ses partenaire(s) dédié(s) au projet</w:t>
      </w:r>
    </w:p>
    <w:p w14:paraId="48FA6079" w14:textId="1F6E89DD" w:rsidR="00776E6D" w:rsidRPr="00A42B98" w:rsidRDefault="00E33D68" w:rsidP="00B92713">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du </w:t>
      </w:r>
      <w:r w:rsidR="00776E6D" w:rsidRPr="00A42B98">
        <w:rPr>
          <w:rFonts w:ascii="Century Gothic" w:eastAsia="Cambria" w:hAnsi="Century Gothic" w:cs="Calibri"/>
        </w:rPr>
        <w:t>personnel en appui ponctuel salarié : part de salaires, indemnités, cotisations sociales et autres éléments de rémunération liés au contrat de travail des personnels salariés de son/ses partenaires intervenant ponctuellement sur le projet</w:t>
      </w:r>
    </w:p>
    <w:p w14:paraId="4853ED67" w14:textId="6888D445" w:rsidR="00776E6D" w:rsidRPr="00A42B98" w:rsidRDefault="00E33D68" w:rsidP="00D94E70">
      <w:pPr>
        <w:pStyle w:val="Paragraphedeliste"/>
        <w:numPr>
          <w:ilvl w:val="0"/>
          <w:numId w:val="3"/>
        </w:numPr>
        <w:spacing w:line="276" w:lineRule="auto"/>
        <w:jc w:val="both"/>
        <w:rPr>
          <w:rFonts w:ascii="Century Gothic" w:hAnsi="Century Gothic" w:cs="Calibri"/>
          <w:color w:val="000000" w:themeColor="text1"/>
          <w:sz w:val="22"/>
          <w:szCs w:val="22"/>
        </w:rPr>
      </w:pPr>
      <w:r w:rsidRPr="00A42B98">
        <w:rPr>
          <w:rFonts w:ascii="Century Gothic" w:hAnsi="Century Gothic" w:cs="Calibri"/>
          <w:color w:val="000000" w:themeColor="text1"/>
          <w:sz w:val="22"/>
          <w:szCs w:val="22"/>
          <w:u w:val="single"/>
        </w:rPr>
        <w:lastRenderedPageBreak/>
        <w:t xml:space="preserve">du </w:t>
      </w:r>
      <w:r w:rsidR="00D94E70" w:rsidRPr="00A42B98">
        <w:rPr>
          <w:rFonts w:ascii="Century Gothic" w:hAnsi="Century Gothic" w:cs="Calibri"/>
          <w:color w:val="000000" w:themeColor="text1"/>
          <w:sz w:val="22"/>
          <w:szCs w:val="22"/>
        </w:rPr>
        <w:t xml:space="preserve">personnel au siège directement impliqué dans les activités du projet (part de salaires, indemnités, cotisations sociales et autres éléments de rémunération liés au contrat de travail des personnels salariés de l’OSC) </w:t>
      </w:r>
    </w:p>
    <w:p w14:paraId="03B9863D"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7F5F87F5" w14:textId="77777777" w:rsidR="00776E6D" w:rsidRPr="004903F4" w:rsidRDefault="00D94E70" w:rsidP="000F069F">
      <w:pPr>
        <w:spacing w:after="0" w:line="276" w:lineRule="auto"/>
        <w:contextualSpacing/>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 xml:space="preserve">Peuvent être inclus dans cette rubrique le temps de travail du personnel du siège </w:t>
      </w:r>
      <w:r w:rsidRPr="004903F4">
        <w:rPr>
          <w:rFonts w:ascii="Century Gothic" w:eastAsia="Times New Roman" w:hAnsi="Century Gothic" w:cs="Times New Roman"/>
          <w:u w:val="single"/>
          <w:lang w:eastAsia="fr-FR"/>
        </w:rPr>
        <w:t>directement impliqué dans les activités du projet</w:t>
      </w:r>
      <w:r w:rsidRPr="004903F4">
        <w:rPr>
          <w:rFonts w:ascii="Century Gothic" w:hAnsi="Century Gothic"/>
        </w:rPr>
        <w:t> </w:t>
      </w:r>
      <w:r w:rsidR="00776E6D" w:rsidRPr="004903F4">
        <w:rPr>
          <w:rFonts w:ascii="Century Gothic" w:eastAsia="Times New Roman" w:hAnsi="Century Gothic" w:cs="Times New Roman"/>
          <w:lang w:eastAsia="fr-FR"/>
        </w:rPr>
        <w:t>: coordination du projet au niveau de l’équipe ou du management opérationnels, animation de formations, missions d’expertise technique. Toutes les fonctions support du siège qui ne sont pas exclusivement dédiées au projet (informatique, communication, recherche de fonds, administration et gestion comptable et financière, gestion des ressources humaines…) ne doivent pas être imputées dans ce</w:t>
      </w:r>
      <w:r w:rsidR="000F069F" w:rsidRPr="004903F4">
        <w:rPr>
          <w:rFonts w:ascii="Century Gothic" w:eastAsia="Times New Roman" w:hAnsi="Century Gothic" w:cs="Times New Roman"/>
          <w:lang w:eastAsia="fr-FR"/>
        </w:rPr>
        <w:t>tte rubrique 6 mais dans les coûts indirects</w:t>
      </w:r>
      <w:r w:rsidR="00776E6D" w:rsidRPr="004903F4">
        <w:rPr>
          <w:rFonts w:ascii="Century Gothic" w:eastAsia="Times New Roman" w:hAnsi="Century Gothic" w:cs="Times New Roman"/>
          <w:lang w:eastAsia="fr-FR"/>
        </w:rPr>
        <w:t>.</w:t>
      </w:r>
    </w:p>
    <w:p w14:paraId="0EEFABE2"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p>
    <w:p w14:paraId="1BA1A38B"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Les dépenses listées dans cette rubrique correspondent exclusivement à des salaires versés, des cotisations sociales, des indemnités imputables à l’exercice de la profession (par exemple, les indemnités de volontaires et/ou de stagiaires sont également incluses), et d’autres éléments de rémunérations prévues dans le contrat de travail pour les expatrié·e·s (prime, chèques vacances…).</w:t>
      </w:r>
    </w:p>
    <w:p w14:paraId="7FE46042" w14:textId="77777777" w:rsidR="00CB4598" w:rsidRPr="00A42B98" w:rsidRDefault="00CB4598" w:rsidP="00776E6D">
      <w:pPr>
        <w:spacing w:before="3" w:after="0" w:line="242" w:lineRule="auto"/>
        <w:jc w:val="both"/>
        <w:rPr>
          <w:rFonts w:ascii="Century Gothic" w:eastAsia="Times New Roman" w:hAnsi="Century Gothic" w:cs="Times New Roman"/>
          <w:color w:val="FF0000"/>
          <w:lang w:eastAsia="fr-FR"/>
        </w:rPr>
      </w:pPr>
    </w:p>
    <w:p w14:paraId="230BC5F1" w14:textId="274A4344" w:rsidR="00776E6D" w:rsidRPr="00790F8D" w:rsidRDefault="00B856B1" w:rsidP="00776E6D">
      <w:pPr>
        <w:spacing w:before="3" w:after="0" w:line="242" w:lineRule="auto"/>
        <w:jc w:val="both"/>
        <w:rPr>
          <w:rFonts w:ascii="Century Gothic" w:eastAsia="Times New Roman" w:hAnsi="Century Gothic" w:cs="Times New Roman"/>
          <w:lang w:eastAsia="fr-FR"/>
        </w:rPr>
      </w:pPr>
      <w:r w:rsidRPr="00790F8D">
        <w:rPr>
          <w:rFonts w:ascii="Century Gothic" w:eastAsia="Times New Roman" w:hAnsi="Century Gothic" w:cs="Times New Roman"/>
          <w:lang w:eastAsia="fr-FR"/>
        </w:rPr>
        <w:t>Le statut</w:t>
      </w:r>
      <w:r w:rsidR="00776E6D" w:rsidRPr="00790F8D">
        <w:rPr>
          <w:rFonts w:ascii="Century Gothic" w:eastAsia="Times New Roman" w:hAnsi="Century Gothic" w:cs="Times New Roman"/>
          <w:lang w:eastAsia="fr-FR"/>
        </w:rPr>
        <w:t xml:space="preserve"> et le temps de travail prévus par chaque personnel participant au projet/programme doivent être précisés (salarié, volontaire, bénévole…) ; il est nécessaire d’indiquer le pourcentage mensuel du temps de travail consacré au projet ; ce temps de travail devra pouvoir être justifié précisément lors de l’audit</w:t>
      </w:r>
      <w:r w:rsidR="00527EC3" w:rsidRPr="00790F8D">
        <w:rPr>
          <w:rFonts w:ascii="Century Gothic" w:eastAsia="Times New Roman" w:hAnsi="Century Gothic" w:cs="Times New Roman"/>
          <w:lang w:eastAsia="fr-FR"/>
        </w:rPr>
        <w:t xml:space="preserve"> </w:t>
      </w:r>
      <w:r w:rsidR="00527EC3" w:rsidRPr="00790F8D">
        <w:rPr>
          <w:rFonts w:ascii="Century Gothic" w:eastAsia="Times New Roman" w:hAnsi="Century Gothic" w:cs="Times New Roman"/>
          <w:b/>
          <w:u w:val="single"/>
          <w:lang w:eastAsia="fr-FR"/>
        </w:rPr>
        <w:t>(avec obligation de tenue de feuilles de temps</w:t>
      </w:r>
      <w:r w:rsidR="001246B8" w:rsidRPr="00790F8D">
        <w:rPr>
          <w:rFonts w:ascii="Century Gothic" w:eastAsia="Times New Roman" w:hAnsi="Century Gothic" w:cs="Times New Roman"/>
          <w:b/>
          <w:u w:val="single"/>
          <w:lang w:eastAsia="fr-FR"/>
        </w:rPr>
        <w:t>,</w:t>
      </w:r>
      <w:r w:rsidR="00527EC3" w:rsidRPr="00790F8D">
        <w:rPr>
          <w:rFonts w:ascii="Century Gothic" w:eastAsia="Times New Roman" w:hAnsi="Century Gothic" w:cs="Times New Roman"/>
          <w:b/>
          <w:u w:val="single"/>
          <w:lang w:eastAsia="fr-FR"/>
        </w:rPr>
        <w:t xml:space="preserve"> à défaut de </w:t>
      </w:r>
      <w:r w:rsidR="001246B8" w:rsidRPr="00790F8D">
        <w:rPr>
          <w:rFonts w:ascii="Century Gothic" w:eastAsia="Times New Roman" w:hAnsi="Century Gothic" w:cs="Times New Roman"/>
          <w:b/>
          <w:u w:val="single"/>
          <w:lang w:eastAsia="fr-FR"/>
        </w:rPr>
        <w:t xml:space="preserve">logiciels de </w:t>
      </w:r>
      <w:r w:rsidR="00527EC3" w:rsidRPr="00790F8D">
        <w:rPr>
          <w:rFonts w:ascii="Century Gothic" w:eastAsia="Times New Roman" w:hAnsi="Century Gothic" w:cs="Times New Roman"/>
          <w:b/>
          <w:u w:val="single"/>
          <w:lang w:eastAsia="fr-FR"/>
        </w:rPr>
        <w:t>bases de temps)</w:t>
      </w:r>
      <w:r w:rsidR="00776E6D" w:rsidRPr="00790F8D">
        <w:rPr>
          <w:rFonts w:ascii="Century Gothic" w:eastAsia="Times New Roman" w:hAnsi="Century Gothic" w:cs="Times New Roman"/>
          <w:lang w:eastAsia="fr-FR"/>
        </w:rPr>
        <w:t xml:space="preserve">, y compris lorsqu’il est valorisé. </w:t>
      </w:r>
    </w:p>
    <w:p w14:paraId="788EA151" w14:textId="77777777" w:rsidR="00776E6D" w:rsidRPr="00A42B98" w:rsidRDefault="00776E6D" w:rsidP="00776E6D">
      <w:pPr>
        <w:tabs>
          <w:tab w:val="left" w:pos="1383"/>
        </w:tabs>
        <w:spacing w:before="5" w:after="0" w:line="247" w:lineRule="auto"/>
        <w:jc w:val="both"/>
        <w:rPr>
          <w:rFonts w:ascii="Century Gothic" w:eastAsia="Times New Roman" w:hAnsi="Century Gothic" w:cs="Times New Roman"/>
          <w:color w:val="FF0000"/>
          <w:w w:val="90"/>
          <w:lang w:eastAsia="fr-FR"/>
        </w:rPr>
      </w:pPr>
    </w:p>
    <w:p w14:paraId="12CFA461" w14:textId="2F317866" w:rsidR="00776E6D" w:rsidRPr="00790F8D" w:rsidRDefault="00CB36E8" w:rsidP="00776E6D">
      <w:pPr>
        <w:spacing w:before="88" w:after="0" w:line="242" w:lineRule="auto"/>
        <w:jc w:val="both"/>
        <w:rPr>
          <w:rFonts w:ascii="Century Gothic" w:eastAsia="Times New Roman" w:hAnsi="Century Gothic" w:cs="Times New Roman"/>
          <w:b/>
          <w:spacing w:val="-3"/>
          <w:w w:val="95"/>
          <w:lang w:eastAsia="fr-FR"/>
        </w:rPr>
      </w:pPr>
      <w:r w:rsidRPr="00A20555">
        <w:rPr>
          <w:rFonts w:ascii="Century Gothic" w:eastAsia="Cambria" w:hAnsi="Century Gothic" w:cs="Calibri"/>
          <w:b/>
        </w:rPr>
        <w:t>Rubrique 7</w:t>
      </w:r>
      <w:r w:rsidR="00776E6D" w:rsidRPr="00A20555">
        <w:rPr>
          <w:rFonts w:ascii="Century Gothic" w:eastAsia="Cambria" w:hAnsi="Century Gothic" w:cs="Calibri"/>
          <w:b/>
        </w:rPr>
        <w:t xml:space="preserve"> :</w:t>
      </w:r>
      <w:r w:rsidR="00776E6D" w:rsidRPr="00A42B98">
        <w:rPr>
          <w:rFonts w:ascii="Century Gothic" w:eastAsia="Times New Roman" w:hAnsi="Century Gothic" w:cs="Times New Roman"/>
          <w:b/>
          <w:color w:val="347E9F"/>
          <w:spacing w:val="-3"/>
          <w:w w:val="95"/>
          <w:lang w:eastAsia="fr-FR"/>
        </w:rPr>
        <w:t xml:space="preserve"> </w:t>
      </w:r>
      <w:r w:rsidR="00776E6D" w:rsidRPr="00790F8D">
        <w:rPr>
          <w:rFonts w:ascii="Century Gothic" w:eastAsia="Times New Roman" w:hAnsi="Century Gothic" w:cs="Times New Roman"/>
          <w:b/>
          <w:spacing w:val="-3"/>
          <w:w w:val="95"/>
          <w:lang w:eastAsia="fr-FR"/>
        </w:rPr>
        <w:t>Fonds</w:t>
      </w:r>
      <w:r w:rsidRPr="00790F8D">
        <w:rPr>
          <w:rFonts w:ascii="Century Gothic" w:eastAsia="Times New Roman" w:hAnsi="Century Gothic" w:cs="Times New Roman"/>
          <w:b/>
          <w:spacing w:val="-3"/>
          <w:w w:val="95"/>
          <w:lang w:eastAsia="fr-FR"/>
        </w:rPr>
        <w:t xml:space="preserve"> redistributifs</w:t>
      </w:r>
      <w:r w:rsidR="00527EC3" w:rsidRPr="00790F8D">
        <w:rPr>
          <w:rFonts w:ascii="Century Gothic" w:eastAsia="Times New Roman" w:hAnsi="Century Gothic" w:cs="Times New Roman"/>
          <w:b/>
          <w:spacing w:val="-3"/>
          <w:w w:val="95"/>
          <w:lang w:eastAsia="fr-FR"/>
        </w:rPr>
        <w:t xml:space="preserve"> (ne concernent pas les rétrocessions)</w:t>
      </w:r>
    </w:p>
    <w:p w14:paraId="42E1CBC5"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appels à projets : fonds destinés à financer des projets locaux lorsque prévus en tant qu’activité du projet</w:t>
      </w:r>
    </w:p>
    <w:p w14:paraId="6B5316AF"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fonds d’urgence : fonds d’assistance juridique ou de mise à l’abri (ex. défenseurs des droits humains)</w:t>
      </w:r>
    </w:p>
    <w:p w14:paraId="6D9A3AC5"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Dont autres fonds : cash transfert, mise en place de micro-crédits, garanties, participation au capital, etc. </w:t>
      </w:r>
    </w:p>
    <w:p w14:paraId="50CD99DE"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34FE9C5C" w14:textId="229A885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Cette rubrique ne concerne pas les fonds rétrocédés qui doivent être détaillés par nature de dépenses dans les autres rubriques.</w:t>
      </w:r>
    </w:p>
    <w:p w14:paraId="26C14A2B" w14:textId="0637155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Si l’OSC met en place des crédits, garanties ou participations dans le cadre du projet, son dispositif de lutte anti blanchiment et financement du terrorisme (LAB-FT) doit être conforme</w:t>
      </w:r>
      <w:r w:rsidR="00B856B1" w:rsidRPr="004903F4">
        <w:rPr>
          <w:rFonts w:ascii="Century Gothic" w:eastAsia="Times New Roman" w:hAnsi="Century Gothic" w:cs="Times New Roman"/>
          <w:lang w:eastAsia="fr-FR"/>
        </w:rPr>
        <w:t xml:space="preserve"> aux prescriptions de </w:t>
      </w:r>
      <w:r w:rsidR="00CF1B0F" w:rsidRPr="004903F4">
        <w:rPr>
          <w:rFonts w:ascii="Century Gothic" w:eastAsia="Times New Roman" w:hAnsi="Century Gothic" w:cs="Times New Roman"/>
          <w:lang w:eastAsia="fr-FR"/>
        </w:rPr>
        <w:t xml:space="preserve">l’Annexe </w:t>
      </w:r>
      <w:r w:rsidRPr="004903F4">
        <w:rPr>
          <w:rFonts w:ascii="Century Gothic" w:eastAsia="Times New Roman" w:hAnsi="Century Gothic" w:cs="Times New Roman"/>
          <w:lang w:eastAsia="fr-FR"/>
        </w:rPr>
        <w:t>portant sur les projets de microfinance.</w:t>
      </w:r>
    </w:p>
    <w:p w14:paraId="22691EEB" w14:textId="1D89EFC1" w:rsidR="00776E6D" w:rsidRPr="00A42B98" w:rsidRDefault="00776E6D" w:rsidP="00776E6D">
      <w:pPr>
        <w:tabs>
          <w:tab w:val="left" w:pos="1383"/>
        </w:tabs>
        <w:spacing w:before="5" w:after="0" w:line="247" w:lineRule="auto"/>
        <w:contextualSpacing/>
        <w:jc w:val="both"/>
        <w:rPr>
          <w:rFonts w:ascii="Century Gothic" w:eastAsia="Cambria" w:hAnsi="Century Gothic" w:cs="Times New Roman"/>
          <w:color w:val="231F20"/>
          <w:w w:val="90"/>
        </w:rPr>
      </w:pPr>
    </w:p>
    <w:p w14:paraId="35D3D21F" w14:textId="77777777" w:rsidR="00776E6D" w:rsidRPr="00A20555" w:rsidRDefault="00776E6D" w:rsidP="00776E6D">
      <w:pPr>
        <w:keepNext/>
        <w:spacing w:before="88" w:after="0" w:line="242" w:lineRule="auto"/>
        <w:jc w:val="both"/>
        <w:rPr>
          <w:rFonts w:ascii="Century Gothic" w:eastAsia="Cambria" w:hAnsi="Century Gothic" w:cs="Calibri"/>
          <w:b/>
        </w:rPr>
      </w:pPr>
      <w:r w:rsidRPr="00A20555">
        <w:rPr>
          <w:rFonts w:ascii="Century Gothic" w:eastAsia="Cambria" w:hAnsi="Century Gothic" w:cs="Calibri"/>
          <w:b/>
        </w:rPr>
        <w:t>Divers et imprévus (optionnel)</w:t>
      </w:r>
      <w:r w:rsidR="003B58D2" w:rsidRPr="00A20555">
        <w:rPr>
          <w:rFonts w:ascii="Century Gothic" w:eastAsia="Cambria" w:hAnsi="Century Gothic" w:cs="Calibri"/>
          <w:b/>
        </w:rPr>
        <w:t> </w:t>
      </w:r>
    </w:p>
    <w:p w14:paraId="1A30C44F" w14:textId="7BC80257" w:rsidR="00776E6D" w:rsidRPr="00A42B98" w:rsidRDefault="00776E6D" w:rsidP="00B73F87">
      <w:pPr>
        <w:spacing w:after="0" w:line="240" w:lineRule="auto"/>
        <w:jc w:val="both"/>
        <w:rPr>
          <w:rFonts w:ascii="Century Gothic" w:eastAsia="Times New Roman" w:hAnsi="Century Gothic" w:cs="Calibri"/>
          <w:sz w:val="24"/>
          <w:lang w:eastAsia="fr-FR"/>
        </w:rPr>
      </w:pPr>
      <w:r w:rsidRPr="00A42B98">
        <w:rPr>
          <w:rFonts w:ascii="Century Gothic" w:eastAsia="Times New Roman" w:hAnsi="Century Gothic" w:cs="Calibri"/>
          <w:lang w:eastAsia="fr-FR"/>
        </w:rPr>
        <w:t>Cette ligne du budget n’est pas une rubrique mais une possibilité de prévoir, dans la limite d</w:t>
      </w:r>
      <w:r w:rsidR="003F5677" w:rsidRPr="00A42B98">
        <w:rPr>
          <w:rFonts w:ascii="Century Gothic" w:eastAsia="Times New Roman" w:hAnsi="Century Gothic" w:cs="Calibri"/>
          <w:lang w:eastAsia="fr-FR"/>
        </w:rPr>
        <w:t xml:space="preserve">es 5 % maximum </w:t>
      </w:r>
      <w:r w:rsidR="00CF1B0F" w:rsidRPr="00A42B98">
        <w:rPr>
          <w:rFonts w:ascii="Century Gothic" w:eastAsia="Times New Roman" w:hAnsi="Century Gothic" w:cs="Calibri"/>
          <w:lang w:eastAsia="fr-FR"/>
        </w:rPr>
        <w:t xml:space="preserve">du montant </w:t>
      </w:r>
      <w:r w:rsidR="002835B7" w:rsidRPr="00A42B98">
        <w:rPr>
          <w:rFonts w:ascii="Century Gothic" w:eastAsia="Times New Roman" w:hAnsi="Century Gothic" w:cs="Calibri"/>
          <w:lang w:eastAsia="fr-FR"/>
        </w:rPr>
        <w:t xml:space="preserve">total </w:t>
      </w:r>
      <w:r w:rsidR="00CF1B0F" w:rsidRPr="00A42B98">
        <w:rPr>
          <w:rFonts w:ascii="Century Gothic" w:eastAsia="Times New Roman" w:hAnsi="Century Gothic" w:cs="Calibri"/>
          <w:lang w:eastAsia="fr-FR"/>
        </w:rPr>
        <w:t>des</w:t>
      </w:r>
      <w:r w:rsidRPr="00A42B98">
        <w:rPr>
          <w:rFonts w:ascii="Century Gothic" w:eastAsia="Times New Roman" w:hAnsi="Century Gothic" w:cs="Calibri"/>
          <w:lang w:eastAsia="fr-FR"/>
        </w:rPr>
        <w:t xml:space="preserve"> coûts directs, une somme pouvant être mobilisée pour couvrir les dépenses suivantes : inflation, variation du taux de change, frais bancaires si non inclus ailleurs, tous types d’imprévus, etc. La justification des dépenses réalisées sera effectuée au réel.</w:t>
      </w:r>
    </w:p>
    <w:p w14:paraId="65662B49" w14:textId="77777777" w:rsidR="00776E6D" w:rsidRPr="00A20555" w:rsidRDefault="003B58D2" w:rsidP="0089445C">
      <w:pPr>
        <w:spacing w:before="88" w:after="0" w:line="360" w:lineRule="auto"/>
        <w:jc w:val="both"/>
        <w:rPr>
          <w:rFonts w:ascii="Century Gothic" w:eastAsia="Cambria" w:hAnsi="Century Gothic" w:cs="Calibri"/>
          <w:b/>
        </w:rPr>
      </w:pPr>
      <w:r w:rsidRPr="00A20555">
        <w:rPr>
          <w:rFonts w:ascii="Century Gothic" w:eastAsia="Cambria" w:hAnsi="Century Gothic" w:cs="Calibri"/>
          <w:b/>
        </w:rPr>
        <w:t>Coûts indirects </w:t>
      </w:r>
    </w:p>
    <w:p w14:paraId="1B976C22" w14:textId="6433B78A" w:rsidR="00776E6D" w:rsidRPr="00A42B98" w:rsidRDefault="00776E6D" w:rsidP="00776E6D">
      <w:pPr>
        <w:numPr>
          <w:ilvl w:val="0"/>
          <w:numId w:val="3"/>
        </w:numPr>
        <w:spacing w:after="0" w:line="276" w:lineRule="auto"/>
        <w:contextualSpacing/>
        <w:jc w:val="both"/>
        <w:rPr>
          <w:rFonts w:ascii="Century Gothic" w:eastAsia="Cambria" w:hAnsi="Century Gothic" w:cs="Calibri"/>
          <w:b/>
          <w:color w:val="FF0000"/>
          <w:sz w:val="24"/>
          <w:u w:val="single"/>
        </w:rPr>
      </w:pPr>
      <w:r w:rsidRPr="00790F8D">
        <w:rPr>
          <w:rFonts w:ascii="Century Gothic" w:eastAsia="Cambria" w:hAnsi="Century Gothic" w:cs="Calibri"/>
        </w:rPr>
        <w:t xml:space="preserve">Exceptionnellement, pour les projets présélectionnés </w:t>
      </w:r>
      <w:r w:rsidR="00B856B1" w:rsidRPr="00790F8D">
        <w:rPr>
          <w:rFonts w:ascii="Century Gothic" w:eastAsia="Cambria" w:hAnsi="Century Gothic" w:cs="Calibri"/>
        </w:rPr>
        <w:t>depuis</w:t>
      </w:r>
      <w:r w:rsidRPr="00790F8D">
        <w:rPr>
          <w:rFonts w:ascii="Century Gothic" w:eastAsia="Cambria" w:hAnsi="Century Gothic" w:cs="Calibri"/>
        </w:rPr>
        <w:t xml:space="preserve"> l’AMI 2020, un ta</w:t>
      </w:r>
      <w:r w:rsidR="00B92713" w:rsidRPr="00790F8D">
        <w:rPr>
          <w:rFonts w:ascii="Century Gothic" w:eastAsia="Cambria" w:hAnsi="Century Gothic" w:cs="Calibri"/>
        </w:rPr>
        <w:t>ux unique de 14% maximum du total des coûts directs liés au projet</w:t>
      </w:r>
      <w:r w:rsidR="00B92713" w:rsidRPr="00790F8D">
        <w:rPr>
          <w:rFonts w:ascii="Century Gothic" w:hAnsi="Century Gothic" w:cstheme="majorHAnsi"/>
        </w:rPr>
        <w:t xml:space="preserve"> </w:t>
      </w:r>
      <w:r w:rsidR="00B92713" w:rsidRPr="00790F8D">
        <w:rPr>
          <w:rFonts w:ascii="Century Gothic" w:eastAsia="Cambria" w:hAnsi="Century Gothic" w:cs="Calibri"/>
        </w:rPr>
        <w:t>a été entériné</w:t>
      </w:r>
      <w:r w:rsidRPr="00790F8D">
        <w:rPr>
          <w:rFonts w:ascii="Century Gothic" w:eastAsia="Cambria" w:hAnsi="Century Gothic" w:cs="Calibri"/>
        </w:rPr>
        <w:t xml:space="preserve">. </w:t>
      </w:r>
      <w:r w:rsidR="00B92713" w:rsidRPr="00790F8D">
        <w:rPr>
          <w:rFonts w:ascii="Century Gothic" w:eastAsia="Cambria" w:hAnsi="Century Gothic" w:cs="Calibri"/>
        </w:rPr>
        <w:t xml:space="preserve"> </w:t>
      </w:r>
      <w:r w:rsidR="006C2A4C" w:rsidRPr="00A42B98">
        <w:rPr>
          <w:rFonts w:ascii="Century Gothic" w:eastAsia="Cambria" w:hAnsi="Century Gothic" w:cs="Calibri"/>
          <w:b/>
          <w:color w:val="FF0000"/>
          <w:u w:val="single"/>
        </w:rPr>
        <w:lastRenderedPageBreak/>
        <w:t>Ce taux est amené à varier et sera défini dans chaque AMI.</w:t>
      </w:r>
      <w:r w:rsidR="00B856B1" w:rsidRPr="00A42B98">
        <w:rPr>
          <w:rFonts w:ascii="Century Gothic" w:eastAsia="Cambria" w:hAnsi="Century Gothic" w:cs="Calibri"/>
          <w:b/>
          <w:color w:val="FF0000"/>
          <w:u w:val="single"/>
        </w:rPr>
        <w:t xml:space="preserve"> Merci de vous y référer.</w:t>
      </w:r>
    </w:p>
    <w:p w14:paraId="1B1C1B50"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20508011"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Ces coûts indirects sont relatifs au siège et non spécifiques au projet. Ces dépenses peuvent également inclure les coûts indirects des autres partenaires.</w:t>
      </w:r>
      <w:r w:rsidR="002D0BC7" w:rsidRPr="004903F4">
        <w:rPr>
          <w:rFonts w:ascii="Century Gothic" w:eastAsia="Times New Roman" w:hAnsi="Century Gothic" w:cs="Times New Roman"/>
          <w:lang w:eastAsia="fr-FR"/>
        </w:rPr>
        <w:t xml:space="preserve"> Dans le cadre d’un audit, s’agissant d’un forfait, ces coûts indirects ne feront pas l’objet d’une vérification des dépenses.</w:t>
      </w:r>
    </w:p>
    <w:p w14:paraId="4B4DC1E6"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01147777" w14:textId="77777777" w:rsidR="00776E6D" w:rsidRPr="00A42B98" w:rsidRDefault="00776E6D" w:rsidP="00776E6D">
      <w:pPr>
        <w:keepNext/>
        <w:spacing w:before="3"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Ces coûts indirects peuvent concerner :</w:t>
      </w:r>
    </w:p>
    <w:p w14:paraId="0937BAB8"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Achat, location et entretien de bureaux, maintenance et autres frais de sécurité, assurance, etc.</w:t>
      </w:r>
    </w:p>
    <w:p w14:paraId="3A02D7F2"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Mobilier, ordinateurs, photocopieurs, fournitures.</w:t>
      </w:r>
    </w:p>
    <w:p w14:paraId="1A233F9D"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Eau, gaz, électricité, internet, carburant.</w:t>
      </w:r>
    </w:p>
    <w:p w14:paraId="554C19FD"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Commissariat aux comptes, étude, frais de recrutement, frais de recherche de fonds, salaires et cotisations des fonctions supports indirectes non incluses dans les coûts directs du projet/programme (gestion des ressources humaines, service informatique, DAF, communication, recherche de fonds, etc.).</w:t>
      </w:r>
    </w:p>
    <w:p w14:paraId="638DE257"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Salaires des permanents du siè</w:t>
      </w:r>
      <w:r w:rsidR="000F069F" w:rsidRPr="00A42B98">
        <w:rPr>
          <w:rFonts w:ascii="Century Gothic" w:eastAsia="Cambria" w:hAnsi="Century Gothic" w:cs="Calibri"/>
        </w:rPr>
        <w:t>ge uniquement</w:t>
      </w:r>
      <w:r w:rsidRPr="00A42B98">
        <w:rPr>
          <w:rFonts w:ascii="Century Gothic" w:eastAsia="Cambria" w:hAnsi="Century Gothic" w:cs="Calibri"/>
        </w:rPr>
        <w:t>.</w:t>
      </w:r>
    </w:p>
    <w:p w14:paraId="5530FEDE" w14:textId="18102165" w:rsidR="006C2A4C" w:rsidRPr="00A42B98" w:rsidRDefault="006C2A4C">
      <w:pPr>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br w:type="page"/>
      </w:r>
    </w:p>
    <w:p w14:paraId="3DDDD99D" w14:textId="77777777" w:rsidR="00776E6D" w:rsidRPr="00A42B98" w:rsidRDefault="00776E6D" w:rsidP="00776E6D">
      <w:pPr>
        <w:spacing w:after="0" w:line="240" w:lineRule="auto"/>
        <w:rPr>
          <w:rFonts w:ascii="Century Gothic" w:eastAsia="Times New Roman" w:hAnsi="Century Gothic" w:cs="Calibri"/>
          <w:b/>
          <w:u w:val="single"/>
          <w:lang w:eastAsia="fr-FR"/>
        </w:rPr>
      </w:pPr>
    </w:p>
    <w:p w14:paraId="53AE6DA1" w14:textId="77777777" w:rsidR="00776E6D" w:rsidRPr="00A42B98" w:rsidRDefault="00776E6D" w:rsidP="00776E6D">
      <w:pPr>
        <w:spacing w:after="0" w:line="240" w:lineRule="auto"/>
        <w:rPr>
          <w:rFonts w:ascii="Century Gothic" w:eastAsia="Times New Roman" w:hAnsi="Century Gothic" w:cs="Calibri"/>
          <w:lang w:eastAsia="fr-FR"/>
        </w:rPr>
      </w:pPr>
      <w:r w:rsidRPr="00A42B98">
        <w:rPr>
          <w:rFonts w:ascii="Century Gothic" w:eastAsia="Times New Roman" w:hAnsi="Century Gothic" w:cs="Calibri"/>
          <w:b/>
          <w:u w:val="single"/>
          <w:lang w:eastAsia="fr-FR"/>
        </w:rPr>
        <w:t>2) L’onglet "ressources"</w:t>
      </w:r>
    </w:p>
    <w:p w14:paraId="65B0914D" w14:textId="77777777" w:rsidR="00776E6D" w:rsidRPr="00A42B98" w:rsidRDefault="00776E6D" w:rsidP="00776E6D">
      <w:pPr>
        <w:spacing w:after="0" w:line="20" w:lineRule="exact"/>
        <w:jc w:val="both"/>
        <w:rPr>
          <w:rFonts w:ascii="Century Gothic" w:eastAsia="Times New Roman" w:hAnsi="Century Gothic" w:cs="Times New Roman"/>
          <w:lang w:eastAsia="fr-FR"/>
        </w:rPr>
      </w:pPr>
    </w:p>
    <w:p w14:paraId="787C12C7" w14:textId="77777777" w:rsidR="00776E6D" w:rsidRPr="00A42B9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A42B98">
        <w:rPr>
          <w:rFonts w:ascii="Century Gothic" w:eastAsia="Times New Roman" w:hAnsi="Century Gothic" w:cs="Arial"/>
          <w:b/>
          <w:bCs/>
          <w:iCs/>
          <w:w w:val="95"/>
          <w:u w:val="single"/>
          <w:lang w:eastAsia="fr-FR"/>
        </w:rPr>
        <w:t>Remarques générales</w:t>
      </w:r>
    </w:p>
    <w:p w14:paraId="4AE946C4"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724CAB63" w14:textId="247D684B"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Il convient de véri</w:t>
      </w:r>
      <w:r w:rsidR="009916D2" w:rsidRPr="00A42B98">
        <w:rPr>
          <w:rFonts w:ascii="Century Gothic" w:eastAsia="Times New Roman" w:hAnsi="Century Gothic" w:cs="Calibri"/>
          <w:lang w:eastAsia="fr-FR"/>
        </w:rPr>
        <w:t>fier que les totaux des ressources</w:t>
      </w:r>
      <w:r w:rsidRPr="00A42B98">
        <w:rPr>
          <w:rFonts w:ascii="Century Gothic" w:eastAsia="Times New Roman" w:hAnsi="Century Gothic" w:cs="Calibri"/>
          <w:lang w:eastAsia="fr-FR"/>
        </w:rPr>
        <w:t xml:space="preserve"> sont égaux, à l'euro</w:t>
      </w:r>
      <w:r w:rsidR="009916D2" w:rsidRPr="00A42B98">
        <w:rPr>
          <w:rFonts w:ascii="Century Gothic" w:eastAsia="Times New Roman" w:hAnsi="Century Gothic" w:cs="Calibri"/>
          <w:lang w:eastAsia="fr-FR"/>
        </w:rPr>
        <w:t xml:space="preserve"> près, aux totaux des dépenses</w:t>
      </w:r>
      <w:r w:rsidRPr="00A42B98">
        <w:rPr>
          <w:rFonts w:ascii="Century Gothic" w:eastAsia="Times New Roman" w:hAnsi="Century Gothic" w:cs="Calibri"/>
          <w:lang w:eastAsia="fr-FR"/>
        </w:rPr>
        <w:t xml:space="preserve"> correspondants (cf. Formule de contrôle </w:t>
      </w:r>
      <w:r w:rsidR="00CB4598" w:rsidRPr="00A42B98">
        <w:rPr>
          <w:rFonts w:ascii="Century Gothic" w:eastAsia="Times New Roman" w:hAnsi="Century Gothic" w:cs="Calibri"/>
          <w:lang w:eastAsia="fr-FR"/>
        </w:rPr>
        <w:t xml:space="preserve">du tableau budgétaire </w:t>
      </w:r>
      <w:r w:rsidRPr="00A42B98">
        <w:rPr>
          <w:rFonts w:ascii="Century Gothic" w:eastAsia="Times New Roman" w:hAnsi="Century Gothic" w:cs="Calibri"/>
          <w:lang w:eastAsia="fr-FR"/>
        </w:rPr>
        <w:t>pour le total général).</w:t>
      </w:r>
    </w:p>
    <w:p w14:paraId="0257DB2C"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7F7FD12A" w14:textId="430ECAA0"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chiffres doivent être entiers, </w:t>
      </w:r>
      <w:r w:rsidRPr="00A42B98">
        <w:rPr>
          <w:rFonts w:ascii="Century Gothic" w:eastAsia="Times New Roman" w:hAnsi="Century Gothic" w:cs="Calibri"/>
          <w:u w:val="single"/>
          <w:lang w:eastAsia="fr-FR"/>
        </w:rPr>
        <w:t>sans décimale</w:t>
      </w:r>
      <w:r w:rsidRPr="00A42B98">
        <w:rPr>
          <w:rFonts w:ascii="Century Gothic" w:eastAsia="Times New Roman" w:hAnsi="Century Gothic" w:cs="Calibri"/>
          <w:lang w:eastAsia="fr-FR"/>
        </w:rPr>
        <w:t>.</w:t>
      </w:r>
    </w:p>
    <w:p w14:paraId="65884293"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376EFE29" w14:textId="447CF47A"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formules proposées et les intitulés de colonnes </w:t>
      </w:r>
      <w:r w:rsidRPr="00A42B98">
        <w:rPr>
          <w:rFonts w:ascii="Century Gothic" w:eastAsia="Times New Roman" w:hAnsi="Century Gothic" w:cs="Calibri"/>
          <w:u w:val="single"/>
          <w:lang w:eastAsia="fr-FR"/>
        </w:rPr>
        <w:t>ne doivent être en aucun cas modifiés</w:t>
      </w:r>
      <w:r w:rsidRPr="00A42B98">
        <w:rPr>
          <w:rFonts w:ascii="Century Gothic" w:eastAsia="Times New Roman" w:hAnsi="Century Gothic" w:cs="Calibri"/>
          <w:lang w:eastAsia="fr-FR"/>
        </w:rPr>
        <w:t>,</w:t>
      </w:r>
      <w:r w:rsidR="00F86A6E" w:rsidRPr="00A42B98">
        <w:rPr>
          <w:rFonts w:ascii="Century Gothic" w:eastAsia="Times New Roman" w:hAnsi="Century Gothic" w:cs="Calibri"/>
          <w:lang w:eastAsia="fr-FR"/>
        </w:rPr>
        <w:t xml:space="preserve"> sauf révision budgétaire</w:t>
      </w:r>
      <w:r w:rsidRPr="00A42B98">
        <w:rPr>
          <w:rFonts w:ascii="Century Gothic" w:eastAsia="Times New Roman" w:hAnsi="Century Gothic" w:cs="Calibri"/>
          <w:lang w:eastAsia="fr-FR"/>
        </w:rPr>
        <w:t>.</w:t>
      </w:r>
    </w:p>
    <w:p w14:paraId="38192EEE"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392A379A" w14:textId="5281D649"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bailleurs doivent être identifiés </w:t>
      </w:r>
      <w:r w:rsidRPr="00A42B98">
        <w:rPr>
          <w:rFonts w:ascii="Century Gothic" w:eastAsia="Times New Roman" w:hAnsi="Century Gothic" w:cs="Calibri"/>
          <w:b/>
          <w:lang w:eastAsia="fr-FR"/>
        </w:rPr>
        <w:t>clairement, distinctement et les sigles explicités</w:t>
      </w:r>
      <w:r w:rsidRPr="00A42B98">
        <w:rPr>
          <w:rFonts w:ascii="Century Gothic" w:eastAsia="Times New Roman" w:hAnsi="Century Gothic" w:cs="Calibri"/>
          <w:lang w:eastAsia="fr-FR"/>
        </w:rPr>
        <w:t>, attention à veiller à l’origine publique ou privée de chaque bailleur. La ligne « fonds apportés par l’OSC » ne doit comporter que le financement que l’O</w:t>
      </w:r>
      <w:r w:rsidR="006C2A4C" w:rsidRPr="00A42B98">
        <w:rPr>
          <w:rFonts w:ascii="Century Gothic" w:eastAsia="Times New Roman" w:hAnsi="Century Gothic" w:cs="Calibri"/>
          <w:lang w:eastAsia="fr-FR"/>
        </w:rPr>
        <w:t>SC</w:t>
      </w:r>
      <w:r w:rsidRPr="00A42B98">
        <w:rPr>
          <w:rFonts w:ascii="Century Gothic" w:eastAsia="Times New Roman" w:hAnsi="Century Gothic" w:cs="Calibri"/>
          <w:lang w:eastAsia="fr-FR"/>
        </w:rPr>
        <w:t xml:space="preserve"> est en capacité d’engager sur ses propres fonds. Les ressources recherchées doivent être indiquées ailleurs.</w:t>
      </w:r>
    </w:p>
    <w:p w14:paraId="63934844" w14:textId="77777777" w:rsidR="00776E6D" w:rsidRPr="00A42B9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A42B98">
        <w:rPr>
          <w:rFonts w:ascii="Century Gothic" w:eastAsia="Times New Roman" w:hAnsi="Century Gothic" w:cs="Arial"/>
          <w:b/>
          <w:bCs/>
          <w:iCs/>
          <w:w w:val="95"/>
          <w:u w:val="single"/>
          <w:lang w:eastAsia="fr-FR"/>
        </w:rPr>
        <w:t xml:space="preserve">Les colonnes « ressources » </w:t>
      </w:r>
    </w:p>
    <w:p w14:paraId="24483FCE" w14:textId="77777777" w:rsidR="00776E6D" w:rsidRPr="00A42B98" w:rsidRDefault="00776E6D" w:rsidP="00776E6D">
      <w:pPr>
        <w:keepNext/>
        <w:spacing w:before="88" w:after="0" w:line="242" w:lineRule="auto"/>
        <w:jc w:val="both"/>
        <w:rPr>
          <w:rFonts w:ascii="Century Gothic" w:eastAsia="Times New Roman" w:hAnsi="Century Gothic" w:cs="Times New Roman"/>
          <w:b/>
          <w:color w:val="347E9F"/>
          <w:spacing w:val="-3"/>
          <w:w w:val="95"/>
          <w:lang w:eastAsia="fr-FR"/>
        </w:rPr>
      </w:pPr>
      <w:r w:rsidRPr="00A20555">
        <w:rPr>
          <w:rFonts w:ascii="Century Gothic" w:eastAsia="Cambria" w:hAnsi="Century Gothic" w:cs="Calibri"/>
          <w:b/>
        </w:rPr>
        <w:t>La colonne « origine des ressources »</w:t>
      </w:r>
    </w:p>
    <w:p w14:paraId="02C49948" w14:textId="5A069C5D"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NIONG : Les bailleurs indiqués dans la NIONG seront ceux indiqués dans le budget initial global annexé à la convention de financement ; néanmoins en cas de bailleurs supplémentaires et/ou retrait et/ou remplacement de ces derniers, pendant la phase d’instruction, une mise à jour du budget ressources pourra être prise en compte au moment de la rédaction de la convention de financement si l’OSC en informe DPA/ OSC en amont.</w:t>
      </w:r>
    </w:p>
    <w:p w14:paraId="4B3911A8" w14:textId="686B3D1B" w:rsidR="00776E6D" w:rsidRPr="00A42B98" w:rsidRDefault="00776E6D" w:rsidP="00776E6D">
      <w:pPr>
        <w:numPr>
          <w:ilvl w:val="0"/>
          <w:numId w:val="3"/>
        </w:numPr>
        <w:spacing w:after="0" w:line="276" w:lineRule="auto"/>
        <w:contextualSpacing/>
        <w:jc w:val="both"/>
        <w:rPr>
          <w:rFonts w:ascii="Century Gothic" w:eastAsia="Cambria" w:hAnsi="Century Gothic" w:cs="Times New Roman"/>
        </w:rPr>
      </w:pPr>
      <w:r w:rsidRPr="00A42B98">
        <w:rPr>
          <w:rFonts w:ascii="Century Gothic" w:eastAsia="Cambria" w:hAnsi="Century Gothic" w:cs="Calibri"/>
        </w:rPr>
        <w:t>Comptes rendus : en cas de nouveaux bailleurs apparus en cours d’exécution, il convient alors de les ajouter. Pour les bailleurs indiqués dans le budget initial global annexé à la convention de financement et qui n’ont finalement pas contribué au projet, il convient d’en conserver la mention</w:t>
      </w:r>
      <w:r w:rsidRPr="00A42B98">
        <w:rPr>
          <w:rFonts w:ascii="Century Gothic" w:eastAsia="Cambria" w:hAnsi="Century Gothic" w:cs="Times New Roman"/>
          <w:color w:val="231F20"/>
        </w:rPr>
        <w:t>.</w:t>
      </w:r>
    </w:p>
    <w:p w14:paraId="67674434"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7FB07E7D"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En cas d’ajout d’une ligne supplémentaire dans le tableau pour indiquer un autre bailleur, l’OSC doit veiller à bien recopier les formules de calcul automatique déjà présentes sur les lignes existantes. Les bailleurs mentionnés sur ces lignes déjà existantes sont des exemples, l’OSC peut remplacer ces bailleurs par d’autres si elle le souhaite ou enlever toute mention inutile.</w:t>
      </w:r>
    </w:p>
    <w:p w14:paraId="53890EF2" w14:textId="77777777" w:rsidR="0089445C" w:rsidRPr="00A42B98" w:rsidRDefault="0089445C" w:rsidP="0089445C">
      <w:pPr>
        <w:keepNext/>
        <w:spacing w:after="0" w:line="242" w:lineRule="auto"/>
        <w:jc w:val="both"/>
        <w:rPr>
          <w:rFonts w:ascii="Century Gothic" w:eastAsia="Times New Roman" w:hAnsi="Century Gothic" w:cs="Times New Roman"/>
          <w:b/>
          <w:color w:val="347E9F"/>
          <w:spacing w:val="-3"/>
          <w:w w:val="95"/>
          <w:lang w:eastAsia="fr-FR"/>
        </w:rPr>
      </w:pPr>
    </w:p>
    <w:p w14:paraId="3DF1BFBE" w14:textId="5ADFB755" w:rsidR="00776E6D" w:rsidRPr="00A20555" w:rsidRDefault="00776E6D" w:rsidP="00A20555">
      <w:pPr>
        <w:keepNext/>
        <w:spacing w:before="88" w:after="0" w:line="242" w:lineRule="auto"/>
        <w:jc w:val="both"/>
        <w:rPr>
          <w:rFonts w:ascii="Century Gothic" w:eastAsia="Cambria" w:hAnsi="Century Gothic" w:cs="Calibri"/>
          <w:b/>
        </w:rPr>
      </w:pPr>
      <w:r w:rsidRPr="00A20555">
        <w:rPr>
          <w:rFonts w:ascii="Century Gothic" w:eastAsia="Cambria" w:hAnsi="Century Gothic" w:cs="Calibri"/>
          <w:b/>
        </w:rPr>
        <w:t>Les colonnes en jaune « Ressources prévisionnelles »</w:t>
      </w:r>
    </w:p>
    <w:p w14:paraId="7E55B52F"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NIONG : ces colonnes sont à remplir au moment de l’instruction pour les deux tranches de versement.</w:t>
      </w:r>
    </w:p>
    <w:p w14:paraId="3914D21F" w14:textId="4AA98090"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Comptes rendus : le budget prévisionnel doit reprendre scrupuleusement le budget initial global annexé à la convention de financement ou à/aux (l’) avenant(s) et les ANO éventuel(s). Les ressources déclarées "acquises" dans la NIONG doivent impérativement apparaître comme ressources effectivement mobilisées dans les comptes rendus. Toutefois, les ressources apportées par </w:t>
      </w:r>
      <w:r w:rsidRPr="00A42B98">
        <w:rPr>
          <w:rFonts w:ascii="Century Gothic" w:eastAsia="Cambria" w:hAnsi="Century Gothic" w:cs="Calibri"/>
        </w:rPr>
        <w:lastRenderedPageBreak/>
        <w:t xml:space="preserve">l’association, déclarées « acquises » dans la NIONG peuvent être remplacées par d’autres ressources pour un montant équivalent. </w:t>
      </w:r>
    </w:p>
    <w:p w14:paraId="6ECDC773" w14:textId="77777777" w:rsidR="00776E6D" w:rsidRPr="00A42B98" w:rsidRDefault="00776E6D" w:rsidP="00776E6D">
      <w:pPr>
        <w:spacing w:before="91" w:after="0" w:line="242" w:lineRule="auto"/>
        <w:jc w:val="both"/>
        <w:rPr>
          <w:rFonts w:ascii="Century Gothic" w:eastAsia="Times New Roman" w:hAnsi="Century Gothic" w:cs="Times New Roman"/>
          <w:color w:val="231F20"/>
          <w:w w:val="90"/>
          <w:lang w:eastAsia="fr-FR"/>
        </w:rPr>
      </w:pPr>
    </w:p>
    <w:p w14:paraId="67697EF6" w14:textId="75141E14" w:rsidR="00776E6D" w:rsidRPr="00A42B98" w:rsidRDefault="00776E6D" w:rsidP="00776E6D">
      <w:pPr>
        <w:spacing w:after="0" w:line="276" w:lineRule="auto"/>
        <w:jc w:val="both"/>
        <w:rPr>
          <w:rFonts w:ascii="Century Gothic" w:eastAsia="Times New Roman" w:hAnsi="Century Gothic" w:cs="Calibri"/>
          <w:lang w:eastAsia="fr-FR"/>
        </w:rPr>
      </w:pPr>
      <w:r w:rsidRPr="00A20555">
        <w:rPr>
          <w:rFonts w:ascii="Century Gothic" w:eastAsia="Cambria" w:hAnsi="Century Gothic" w:cs="Calibri"/>
          <w:b/>
        </w:rPr>
        <w:t>Les colonnes en rose "Ressources consommées</w:t>
      </w:r>
      <w:r w:rsidRPr="00A20555">
        <w:rPr>
          <w:rFonts w:ascii="Century Gothic" w:eastAsia="Times New Roman" w:hAnsi="Century Gothic" w:cs="Times New Roman"/>
          <w:b/>
          <w:spacing w:val="-3"/>
          <w:w w:val="95"/>
          <w:lang w:eastAsia="fr-FR"/>
        </w:rPr>
        <w:t>"</w:t>
      </w:r>
      <w:r w:rsidRPr="00A42B98">
        <w:rPr>
          <w:rFonts w:ascii="Century Gothic" w:eastAsia="Times New Roman" w:hAnsi="Century Gothic" w:cs="Times New Roman"/>
          <w:color w:val="231F20"/>
          <w:spacing w:val="-12"/>
          <w:w w:val="90"/>
          <w:lang w:eastAsia="fr-FR"/>
        </w:rPr>
        <w:t xml:space="preserve"> </w:t>
      </w:r>
      <w:r w:rsidRPr="00A42B98">
        <w:rPr>
          <w:rFonts w:ascii="Century Gothic" w:eastAsia="Times New Roman" w:hAnsi="Century Gothic" w:cs="Calibri"/>
          <w:lang w:eastAsia="fr-FR"/>
        </w:rPr>
        <w:t xml:space="preserve">indiquent les ressources effectivement utilisées à la fin de chaque tranche d’exécution (à compléter au </w:t>
      </w:r>
      <w:r w:rsidR="009916D2" w:rsidRPr="00A42B98">
        <w:rPr>
          <w:rFonts w:ascii="Century Gothic" w:eastAsia="Times New Roman" w:hAnsi="Century Gothic" w:cs="Calibri"/>
          <w:lang w:eastAsia="fr-FR"/>
        </w:rPr>
        <w:t>fur</w:t>
      </w:r>
      <w:r w:rsidR="009916D2" w:rsidRPr="00A42B98">
        <w:rPr>
          <w:rFonts w:ascii="Century Gothic" w:eastAsia="Times New Roman" w:hAnsi="Century Gothic" w:cs="Times New Roman"/>
          <w:color w:val="231F20"/>
          <w:spacing w:val="-35"/>
          <w:w w:val="95"/>
          <w:lang w:eastAsia="fr-FR"/>
        </w:rPr>
        <w:t xml:space="preserve"> et</w:t>
      </w:r>
      <w:r w:rsidRPr="00A42B98">
        <w:rPr>
          <w:rFonts w:ascii="Century Gothic" w:eastAsia="Times New Roman" w:hAnsi="Century Gothic" w:cs="Calibri"/>
          <w:lang w:eastAsia="fr-FR"/>
        </w:rPr>
        <w:t xml:space="preserve"> à mesure de la mise en œuvre du projet). Les ressources non consommées doivent être reportées dans la colonne "ressources révisées tranche 2".</w:t>
      </w:r>
    </w:p>
    <w:p w14:paraId="752D94A5" w14:textId="77777777" w:rsidR="00776E6D" w:rsidRPr="00A20555" w:rsidRDefault="00776E6D" w:rsidP="00A20555">
      <w:pPr>
        <w:spacing w:before="91" w:after="0" w:line="242" w:lineRule="auto"/>
        <w:jc w:val="both"/>
        <w:rPr>
          <w:rFonts w:ascii="Century Gothic" w:eastAsia="Cambria" w:hAnsi="Century Gothic" w:cs="Calibri"/>
          <w:b/>
        </w:rPr>
      </w:pPr>
      <w:r w:rsidRPr="00A20555">
        <w:rPr>
          <w:rFonts w:ascii="Century Gothic" w:eastAsia="Cambria" w:hAnsi="Century Gothic" w:cs="Calibri"/>
          <w:b/>
        </w:rPr>
        <w:t>La colonne en orange "Ressources révisées"</w:t>
      </w:r>
    </w:p>
    <w:p w14:paraId="70AC70CE" w14:textId="77777777" w:rsidR="00776E6D" w:rsidRPr="00A42B98" w:rsidRDefault="00776E6D" w:rsidP="00776E6D">
      <w:pPr>
        <w:numPr>
          <w:ilvl w:val="0"/>
          <w:numId w:val="3"/>
        </w:numPr>
        <w:spacing w:after="0" w:line="276" w:lineRule="auto"/>
        <w:contextualSpacing/>
        <w:jc w:val="both"/>
        <w:rPr>
          <w:rFonts w:ascii="Century Gothic" w:eastAsia="Cambria" w:hAnsi="Century Gothic" w:cs="Times New Roman"/>
          <w:w w:val="90"/>
        </w:rPr>
      </w:pPr>
      <w:r w:rsidRPr="00A42B98">
        <w:rPr>
          <w:rFonts w:ascii="Century Gothic" w:eastAsia="Cambria" w:hAnsi="Century Gothic" w:cs="Calibri"/>
        </w:rPr>
        <w:t>Comptes rendus : cette colonne permet à l'OSC d'actualiser son budget prévisionnel en tenant compte :</w:t>
      </w:r>
    </w:p>
    <w:p w14:paraId="22707A36"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du taux de consommation des ressources de la tranche 1 ;</w:t>
      </w:r>
    </w:p>
    <w:p w14:paraId="500D2855"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des ressources supplémentaires acquises ou au contraire des ressources espérées et non acquises en cours d'exécution du projet ;</w:t>
      </w:r>
    </w:p>
    <w:p w14:paraId="23D11FFE" w14:textId="5587C814"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w:t>
      </w:r>
      <w:r w:rsidR="00D44D79" w:rsidRPr="00A42B98">
        <w:rPr>
          <w:rFonts w:ascii="Century Gothic" w:eastAsia="Cambria" w:hAnsi="Century Gothic" w:cs="Calibri"/>
        </w:rPr>
        <w:t>u ou d</w:t>
      </w:r>
      <w:r w:rsidRPr="00A42B98">
        <w:rPr>
          <w:rFonts w:ascii="Century Gothic" w:eastAsia="Cambria" w:hAnsi="Century Gothic" w:cs="Calibri"/>
        </w:rPr>
        <w:t>es avenants ou ANO accepté</w:t>
      </w:r>
      <w:r w:rsidR="00D44D79" w:rsidRPr="00A42B98">
        <w:rPr>
          <w:rFonts w:ascii="Century Gothic" w:eastAsia="Cambria" w:hAnsi="Century Gothic" w:cs="Calibri"/>
        </w:rPr>
        <w:t>(</w:t>
      </w:r>
      <w:r w:rsidRPr="00A42B98">
        <w:rPr>
          <w:rFonts w:ascii="Century Gothic" w:eastAsia="Cambria" w:hAnsi="Century Gothic" w:cs="Calibri"/>
        </w:rPr>
        <w:t>s</w:t>
      </w:r>
      <w:r w:rsidR="00D44D79" w:rsidRPr="00A42B98">
        <w:rPr>
          <w:rFonts w:ascii="Century Gothic" w:eastAsia="Cambria" w:hAnsi="Century Gothic" w:cs="Calibri"/>
        </w:rPr>
        <w:t>)</w:t>
      </w:r>
      <w:r w:rsidRPr="00A42B98">
        <w:rPr>
          <w:rFonts w:ascii="Century Gothic" w:eastAsia="Cambria" w:hAnsi="Century Gothic" w:cs="Calibri"/>
        </w:rPr>
        <w:t xml:space="preserve"> par DPA/OSC.</w:t>
      </w:r>
    </w:p>
    <w:p w14:paraId="28C52852"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2EA88B7C" w14:textId="77777777" w:rsidR="00776E6D" w:rsidRPr="00A20555" w:rsidRDefault="00776E6D" w:rsidP="00776E6D">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Les modifications doivent être explicitées au moment des comptes rendus.</w:t>
      </w:r>
    </w:p>
    <w:p w14:paraId="12FBE8A5" w14:textId="77777777" w:rsidR="00776E6D" w:rsidRPr="00A20555" w:rsidRDefault="00776E6D" w:rsidP="00776E6D">
      <w:pPr>
        <w:spacing w:before="87" w:after="0" w:line="242" w:lineRule="auto"/>
        <w:jc w:val="both"/>
        <w:rPr>
          <w:rFonts w:ascii="Century Gothic" w:eastAsia="Times New Roman" w:hAnsi="Century Gothic" w:cs="Times New Roman"/>
          <w:w w:val="90"/>
          <w:lang w:eastAsia="fr-FR"/>
        </w:rPr>
      </w:pPr>
    </w:p>
    <w:p w14:paraId="005EF6C3" w14:textId="41D57732" w:rsidR="00776E6D" w:rsidRPr="00A20555" w:rsidRDefault="00776E6D" w:rsidP="00CB4598">
      <w:pPr>
        <w:spacing w:before="3" w:after="0" w:line="242" w:lineRule="auto"/>
        <w:jc w:val="both"/>
        <w:rPr>
          <w:rFonts w:ascii="Century Gothic" w:eastAsia="Calibri" w:hAnsi="Century Gothic" w:cs="Calibri"/>
        </w:rPr>
      </w:pPr>
      <w:r w:rsidRPr="00A20555">
        <w:rPr>
          <w:rFonts w:ascii="Century Gothic" w:eastAsia="Times New Roman" w:hAnsi="Century Gothic" w:cs="Times New Roman"/>
          <w:lang w:eastAsia="fr-FR"/>
        </w:rPr>
        <w:t xml:space="preserve">L’OSC doit renseigner la colonne des ressources révisées uniquement en début de tranche 2 et ce même si les montants prévisionnels de la tranche 2 n’ont pas été révisés et sont toujours conformes aux montants indiqués dans le budget global annexé à la convention de </w:t>
      </w:r>
      <w:r w:rsidR="00B856B1" w:rsidRPr="00A20555">
        <w:rPr>
          <w:rFonts w:ascii="Century Gothic" w:eastAsia="Times New Roman" w:hAnsi="Century Gothic" w:cs="Times New Roman"/>
          <w:lang w:eastAsia="fr-FR"/>
        </w:rPr>
        <w:t>financement.</w:t>
      </w:r>
    </w:p>
    <w:p w14:paraId="562D4AD7" w14:textId="1FD2ED56" w:rsidR="00776E6D" w:rsidRPr="00A42B98" w:rsidRDefault="00776E6D" w:rsidP="00776E6D">
      <w:pPr>
        <w:spacing w:before="92" w:after="0" w:line="242" w:lineRule="auto"/>
        <w:jc w:val="both"/>
        <w:rPr>
          <w:rFonts w:ascii="Century Gothic" w:eastAsia="Times New Roman" w:hAnsi="Century Gothic" w:cs="Calibri"/>
          <w:lang w:eastAsia="fr-FR"/>
        </w:rPr>
      </w:pPr>
      <w:r w:rsidRPr="00A20555">
        <w:rPr>
          <w:rFonts w:ascii="Century Gothic" w:eastAsia="Cambria" w:hAnsi="Century Gothic" w:cs="Calibri"/>
          <w:b/>
        </w:rPr>
        <w:t>Les colonnes en blanc "variations</w:t>
      </w:r>
      <w:r w:rsidRPr="00A20555">
        <w:rPr>
          <w:rFonts w:ascii="Century Gothic" w:eastAsia="Times New Roman" w:hAnsi="Century Gothic" w:cs="Times New Roman"/>
          <w:b/>
          <w:spacing w:val="-3"/>
          <w:w w:val="95"/>
          <w:lang w:eastAsia="fr-FR"/>
        </w:rPr>
        <w:t xml:space="preserve">" </w:t>
      </w:r>
      <w:r w:rsidRPr="00A42B98">
        <w:rPr>
          <w:rFonts w:ascii="Century Gothic" w:eastAsia="Times New Roman" w:hAnsi="Century Gothic" w:cs="Calibri"/>
          <w:lang w:eastAsia="fr-FR"/>
        </w:rPr>
        <w:t xml:space="preserve">s'entendent par le ratio ressources consommées/ressources prévisionnelles initiales (lors de la </w:t>
      </w:r>
      <w:r w:rsidR="00D44D79" w:rsidRPr="00A42B98">
        <w:rPr>
          <w:rFonts w:ascii="Century Gothic" w:eastAsia="Times New Roman" w:hAnsi="Century Gothic" w:cs="Calibri"/>
          <w:lang w:eastAsia="fr-FR"/>
        </w:rPr>
        <w:t xml:space="preserve">tranche </w:t>
      </w:r>
      <w:r w:rsidRPr="00A42B98">
        <w:rPr>
          <w:rFonts w:ascii="Century Gothic" w:eastAsia="Times New Roman" w:hAnsi="Century Gothic" w:cs="Calibri"/>
          <w:lang w:eastAsia="fr-FR"/>
        </w:rPr>
        <w:t>1), et par le ratio ressources consommées/ressources révisées (lors de la tranche 2).</w:t>
      </w:r>
    </w:p>
    <w:p w14:paraId="229CF632" w14:textId="77777777" w:rsidR="00776E6D" w:rsidRPr="00A42B98" w:rsidRDefault="00776E6D" w:rsidP="00776E6D">
      <w:pPr>
        <w:spacing w:before="89" w:after="0" w:line="242" w:lineRule="auto"/>
        <w:jc w:val="both"/>
        <w:rPr>
          <w:rFonts w:ascii="Century Gothic" w:eastAsia="Times New Roman" w:hAnsi="Century Gothic" w:cs="Calibri"/>
          <w:lang w:eastAsia="fr-FR"/>
        </w:rPr>
      </w:pPr>
      <w:r w:rsidRPr="00A20555">
        <w:rPr>
          <w:rFonts w:ascii="Century Gothic" w:eastAsia="Cambria" w:hAnsi="Century Gothic" w:cs="Calibri"/>
          <w:b/>
        </w:rPr>
        <w:t>La colonne "état des ressources"</w:t>
      </w:r>
      <w:r w:rsidRPr="00A42B98">
        <w:rPr>
          <w:rFonts w:ascii="Century Gothic" w:eastAsia="Times New Roman" w:hAnsi="Century Gothic" w:cs="Times New Roman"/>
          <w:color w:val="231F20"/>
          <w:spacing w:val="-24"/>
          <w:w w:val="95"/>
          <w:lang w:eastAsia="fr-FR"/>
        </w:rPr>
        <w:t xml:space="preserve"> </w:t>
      </w:r>
      <w:r w:rsidRPr="00A42B98">
        <w:rPr>
          <w:rFonts w:ascii="Century Gothic" w:eastAsia="Times New Roman" w:hAnsi="Century Gothic" w:cs="Times New Roman"/>
          <w:color w:val="231F20"/>
          <w:spacing w:val="-5"/>
          <w:w w:val="95"/>
          <w:lang w:eastAsia="fr-FR"/>
        </w:rPr>
        <w:t>(</w:t>
      </w:r>
      <w:r w:rsidRPr="00A42B98">
        <w:rPr>
          <w:rFonts w:ascii="Century Gothic" w:eastAsia="Times New Roman" w:hAnsi="Century Gothic" w:cs="Calibri"/>
          <w:lang w:eastAsia="fr-FR"/>
        </w:rPr>
        <w:t>acquis/sollicité/à solliciter) doit être renseignée et mise à jour à chaque transmission du budget.</w:t>
      </w:r>
    </w:p>
    <w:p w14:paraId="0D200FC6" w14:textId="77777777" w:rsidR="00776E6D" w:rsidRPr="00A42B9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Calcul du reliquat AFD</w:t>
      </w:r>
    </w:p>
    <w:p w14:paraId="2209E07E"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Ce tableau n’est à renseigner qu’au moment des comptes rendus.</w:t>
      </w:r>
    </w:p>
    <w:p w14:paraId="6FF61923" w14:textId="79E7D0AF"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La part de la subvention AFD effectivement reçue en tranche 1 est à saisir manuellement</w:t>
      </w:r>
      <w:r w:rsidR="00D44D79" w:rsidRPr="00A42B98">
        <w:rPr>
          <w:rFonts w:ascii="Century Gothic" w:eastAsia="Cambria" w:hAnsi="Century Gothic" w:cs="Calibri"/>
        </w:rPr>
        <w:t>.</w:t>
      </w:r>
    </w:p>
    <w:p w14:paraId="4F2F4BF9" w14:textId="45A10024"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Le montant du reliquat de la subvention AFD à consommer en tranche 2 se calcule automatiquement (part de la subvention AFD reçue en T1 moins part de la subvention consommée en T1). Ce reliquat est automatiquement reporté dans la colonne des ressources révisées</w:t>
      </w:r>
      <w:r w:rsidR="00CB4598" w:rsidRPr="00A42B98">
        <w:rPr>
          <w:rFonts w:ascii="Century Gothic" w:eastAsia="Cambria" w:hAnsi="Century Gothic" w:cs="Calibri"/>
        </w:rPr>
        <w:t xml:space="preserve"> de la T2</w:t>
      </w:r>
      <w:r w:rsidRPr="00A42B98">
        <w:rPr>
          <w:rFonts w:ascii="Century Gothic" w:eastAsia="Cambria" w:hAnsi="Century Gothic" w:cs="Calibri"/>
        </w:rPr>
        <w:t>.</w:t>
      </w:r>
    </w:p>
    <w:p w14:paraId="64827DD3" w14:textId="46314132"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La part de la subvention AFD reçue en tranche 2 est à saisir manuellement.</w:t>
      </w:r>
    </w:p>
    <w:p w14:paraId="7D21F6D8" w14:textId="00D943D5"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Le montant de la subvention AFD à rembourser en fin de projet dans le cas d’une sous consommation du budget s’affiche automatiquement.</w:t>
      </w:r>
    </w:p>
    <w:p w14:paraId="1B07AB97"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Il est à noter qu’un remboursement d’une partie de la subvention AFD peut aussi avoir lieu si un dépassement du taux de cofinancement AFD prévu dans la convention de financement est constaté (ex. autres ressources non ou sous consommées).</w:t>
      </w:r>
    </w:p>
    <w:p w14:paraId="104E81B8" w14:textId="77777777" w:rsidR="00776E6D" w:rsidRPr="00A20555" w:rsidRDefault="00776E6D" w:rsidP="00776E6D">
      <w:pPr>
        <w:spacing w:before="3" w:after="0" w:line="242" w:lineRule="auto"/>
        <w:jc w:val="both"/>
        <w:rPr>
          <w:rFonts w:ascii="Century Gothic" w:eastAsia="Times New Roman" w:hAnsi="Century Gothic" w:cs="Times New Roman"/>
          <w:lang w:eastAsia="fr-FR"/>
        </w:rPr>
      </w:pPr>
    </w:p>
    <w:p w14:paraId="2ED33CB9" w14:textId="358F1E41" w:rsidR="00776E6D" w:rsidRPr="00A20555" w:rsidRDefault="00776E6D" w:rsidP="00776E6D">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 xml:space="preserve">Sur la base d’une demande </w:t>
      </w:r>
      <w:r w:rsidR="00380566" w:rsidRPr="00A20555">
        <w:rPr>
          <w:rFonts w:ascii="Century Gothic" w:eastAsia="Times New Roman" w:hAnsi="Century Gothic" w:cs="Times New Roman"/>
          <w:lang w:eastAsia="fr-FR"/>
        </w:rPr>
        <w:t xml:space="preserve">d’avis de non objection </w:t>
      </w:r>
      <w:r w:rsidRPr="00A20555">
        <w:rPr>
          <w:rFonts w:ascii="Century Gothic" w:eastAsia="Times New Roman" w:hAnsi="Century Gothic" w:cs="Times New Roman"/>
          <w:lang w:eastAsia="fr-FR"/>
        </w:rPr>
        <w:t>dûment justifiée par l’OSC et faite le plus en amont possible pendant l’exécution du projet, DPA/OSC pourra accepter que le taux de cofinancement final AFD varie jusqu’à cinq points dans la mesure où le taux de cofinancement maximum de l’AFD est respecté.</w:t>
      </w:r>
    </w:p>
    <w:p w14:paraId="78CD469E" w14:textId="29D3EC02" w:rsidR="00776E6D" w:rsidRPr="00A20555" w:rsidRDefault="00776E6D" w:rsidP="00776E6D">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lastRenderedPageBreak/>
        <w:t xml:space="preserve">En cas de refus de DPA/OSC de cette variation, le remboursement </w:t>
      </w:r>
      <w:r w:rsidR="00380566" w:rsidRPr="00A20555">
        <w:rPr>
          <w:rFonts w:ascii="Century Gothic" w:eastAsia="Times New Roman" w:hAnsi="Century Gothic" w:cs="Times New Roman"/>
          <w:lang w:eastAsia="fr-FR"/>
        </w:rPr>
        <w:t xml:space="preserve">à l’Agence Française de Développement </w:t>
      </w:r>
      <w:r w:rsidRPr="00A20555">
        <w:rPr>
          <w:rFonts w:ascii="Century Gothic" w:eastAsia="Times New Roman" w:hAnsi="Century Gothic" w:cs="Times New Roman"/>
          <w:lang w:eastAsia="fr-FR"/>
        </w:rPr>
        <w:t>au prorata reste obligatoire.</w:t>
      </w:r>
    </w:p>
    <w:p w14:paraId="4211D42E" w14:textId="32E7B4FE" w:rsidR="00D8272D" w:rsidRPr="00A42B98" w:rsidRDefault="00D8272D" w:rsidP="00776E6D">
      <w:pPr>
        <w:spacing w:before="3" w:after="0" w:line="242" w:lineRule="auto"/>
        <w:jc w:val="both"/>
        <w:rPr>
          <w:rFonts w:ascii="Century Gothic" w:eastAsia="Times New Roman" w:hAnsi="Century Gothic" w:cs="Times New Roman"/>
          <w:color w:val="347E9F"/>
          <w:lang w:eastAsia="fr-FR"/>
        </w:rPr>
      </w:pPr>
    </w:p>
    <w:p w14:paraId="068930F1" w14:textId="226CB355" w:rsidR="00776E6D" w:rsidRPr="00A42B98" w:rsidRDefault="00776E6D" w:rsidP="00776E6D">
      <w:pPr>
        <w:keepNext/>
        <w:tabs>
          <w:tab w:val="num" w:pos="432"/>
        </w:tabs>
        <w:spacing w:before="240" w:after="60" w:line="240" w:lineRule="auto"/>
        <w:ind w:left="432" w:hanging="432"/>
        <w:outlineLvl w:val="0"/>
        <w:rPr>
          <w:rFonts w:ascii="Century Gothic" w:eastAsia="Times New Roman" w:hAnsi="Century Gothic" w:cs="Arial"/>
          <w:b/>
          <w:bCs/>
          <w:kern w:val="32"/>
          <w:u w:val="single"/>
          <w:lang w:eastAsia="fr-FR"/>
        </w:rPr>
      </w:pPr>
      <w:r w:rsidRPr="00A42B98">
        <w:rPr>
          <w:rFonts w:ascii="Century Gothic" w:eastAsia="Times New Roman" w:hAnsi="Century Gothic" w:cs="Arial"/>
          <w:b/>
          <w:bCs/>
          <w:kern w:val="32"/>
          <w:u w:val="single"/>
          <w:lang w:eastAsia="fr-FR"/>
        </w:rPr>
        <w:t>L’onglet "valorisations"</w:t>
      </w:r>
      <w:r w:rsidR="00B35E3A" w:rsidRPr="00A42B98">
        <w:rPr>
          <w:rFonts w:ascii="Century Gothic" w:eastAsia="Times New Roman" w:hAnsi="Century Gothic" w:cs="Arial"/>
          <w:b/>
          <w:bCs/>
          <w:kern w:val="32"/>
          <w:u w:val="single"/>
          <w:lang w:eastAsia="fr-FR"/>
        </w:rPr>
        <w:t xml:space="preserve"> pour les projets « </w:t>
      </w:r>
      <w:r w:rsidR="000E08F3" w:rsidRPr="00A42B98">
        <w:rPr>
          <w:rFonts w:ascii="Century Gothic" w:eastAsia="Times New Roman" w:hAnsi="Century Gothic" w:cs="Arial"/>
          <w:b/>
          <w:bCs/>
          <w:kern w:val="32"/>
          <w:u w:val="single"/>
          <w:lang w:eastAsia="fr-FR"/>
        </w:rPr>
        <w:t>T</w:t>
      </w:r>
      <w:r w:rsidR="00B35E3A" w:rsidRPr="00A42B98">
        <w:rPr>
          <w:rFonts w:ascii="Century Gothic" w:eastAsia="Times New Roman" w:hAnsi="Century Gothic" w:cs="Arial"/>
          <w:b/>
          <w:bCs/>
          <w:kern w:val="32"/>
          <w:u w:val="single"/>
          <w:lang w:eastAsia="fr-FR"/>
        </w:rPr>
        <w:t>errain » et « </w:t>
      </w:r>
      <w:r w:rsidR="000E08F3" w:rsidRPr="00A42B98">
        <w:rPr>
          <w:rFonts w:ascii="Century Gothic" w:eastAsia="Times New Roman" w:hAnsi="Century Gothic" w:cs="Arial"/>
          <w:b/>
          <w:bCs/>
          <w:kern w:val="32"/>
          <w:u w:val="single"/>
          <w:lang w:eastAsia="fr-FR"/>
        </w:rPr>
        <w:t>Intérêt Général »</w:t>
      </w:r>
    </w:p>
    <w:p w14:paraId="582754CE" w14:textId="2789B0C1" w:rsidR="00776E6D" w:rsidRPr="00A42B98" w:rsidRDefault="007C2FCF" w:rsidP="00776E6D">
      <w:pPr>
        <w:keepNext/>
        <w:spacing w:before="2"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 xml:space="preserve">Une contribution volontaire en nature est l’acte par lequel une personne physique ou morale apporte un travail, des biens ou des services </w:t>
      </w:r>
      <w:r w:rsidRPr="00A42B98">
        <w:rPr>
          <w:rFonts w:ascii="Century Gothic" w:eastAsia="Times New Roman" w:hAnsi="Century Gothic" w:cs="Times New Roman"/>
          <w:b/>
          <w:lang w:eastAsia="fr-FR"/>
        </w:rPr>
        <w:t>à titre gratuit</w:t>
      </w:r>
      <w:r w:rsidRPr="00A42B98">
        <w:rPr>
          <w:rFonts w:ascii="Century Gothic" w:eastAsia="Times New Roman" w:hAnsi="Century Gothic" w:cs="Times New Roman"/>
          <w:lang w:eastAsia="fr-FR"/>
        </w:rPr>
        <w:t xml:space="preserve"> à l’OSC. Ces contributions en nature ne génèrent aucun flux financier et aucune dépense de </w:t>
      </w:r>
      <w:r w:rsidR="00AF4599" w:rsidRPr="00A42B98">
        <w:rPr>
          <w:rFonts w:ascii="Century Gothic" w:eastAsia="Times New Roman" w:hAnsi="Century Gothic" w:cs="Times New Roman"/>
          <w:lang w:eastAsia="fr-FR"/>
        </w:rPr>
        <w:t xml:space="preserve">la </w:t>
      </w:r>
      <w:r w:rsidRPr="00A42B98">
        <w:rPr>
          <w:rFonts w:ascii="Century Gothic" w:eastAsia="Times New Roman" w:hAnsi="Century Gothic" w:cs="Times New Roman"/>
          <w:lang w:eastAsia="fr-FR"/>
        </w:rPr>
        <w:t>part de l’OSC.</w:t>
      </w:r>
    </w:p>
    <w:p w14:paraId="7D428EE6" w14:textId="3DA085B0" w:rsidR="007C2FCF" w:rsidRPr="00A42B98" w:rsidRDefault="007C2FCF" w:rsidP="00776E6D">
      <w:pPr>
        <w:keepNext/>
        <w:spacing w:before="2" w:after="0" w:line="240" w:lineRule="auto"/>
        <w:jc w:val="both"/>
        <w:rPr>
          <w:rFonts w:ascii="Century Gothic" w:eastAsia="Times New Roman" w:hAnsi="Century Gothic" w:cs="Times New Roman"/>
          <w:lang w:eastAsia="fr-FR"/>
        </w:rPr>
      </w:pPr>
    </w:p>
    <w:p w14:paraId="410FD4B2" w14:textId="0DF453BD" w:rsidR="007C2FCF" w:rsidRPr="00A20555" w:rsidRDefault="007C2FCF" w:rsidP="007C2FCF">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b/>
          <w:lang w:eastAsia="fr-FR"/>
        </w:rPr>
        <w:t>Seule</w:t>
      </w:r>
      <w:r w:rsidR="0027604D" w:rsidRPr="00A20555">
        <w:rPr>
          <w:rFonts w:ascii="Century Gothic" w:eastAsia="Times New Roman" w:hAnsi="Century Gothic" w:cs="Times New Roman"/>
          <w:b/>
          <w:lang w:eastAsia="fr-FR"/>
        </w:rPr>
        <w:t>s</w:t>
      </w:r>
      <w:r w:rsidRPr="00A20555">
        <w:rPr>
          <w:rFonts w:ascii="Century Gothic" w:eastAsia="Times New Roman" w:hAnsi="Century Gothic" w:cs="Times New Roman"/>
          <w:b/>
          <w:lang w:eastAsia="fr-FR"/>
        </w:rPr>
        <w:t xml:space="preserve"> les contributions </w:t>
      </w:r>
      <w:r w:rsidR="001022EA" w:rsidRPr="00A20555">
        <w:rPr>
          <w:rFonts w:ascii="Century Gothic" w:eastAsia="Times New Roman" w:hAnsi="Century Gothic" w:cs="Times New Roman"/>
          <w:b/>
          <w:lang w:eastAsia="fr-FR"/>
        </w:rPr>
        <w:t xml:space="preserve">volontaires en nature </w:t>
      </w:r>
      <w:r w:rsidRPr="00A20555">
        <w:rPr>
          <w:rFonts w:ascii="Century Gothic" w:eastAsia="Times New Roman" w:hAnsi="Century Gothic" w:cs="Times New Roman"/>
          <w:b/>
          <w:lang w:eastAsia="fr-FR"/>
        </w:rPr>
        <w:t xml:space="preserve">apportées par des partenaires </w:t>
      </w:r>
      <w:r w:rsidRPr="00A20555">
        <w:rPr>
          <w:rFonts w:ascii="Century Gothic" w:eastAsia="Times New Roman" w:hAnsi="Century Gothic" w:cs="Times New Roman"/>
          <w:b/>
          <w:u w:val="single"/>
          <w:lang w:eastAsia="fr-FR"/>
        </w:rPr>
        <w:t>non financés</w:t>
      </w:r>
      <w:r w:rsidRPr="00A20555">
        <w:rPr>
          <w:rFonts w:ascii="Century Gothic" w:eastAsia="Times New Roman" w:hAnsi="Century Gothic" w:cs="Times New Roman"/>
          <w:b/>
          <w:lang w:eastAsia="fr-FR"/>
        </w:rPr>
        <w:t xml:space="preserve"> </w:t>
      </w:r>
      <w:r w:rsidRPr="00A20555">
        <w:rPr>
          <w:rFonts w:ascii="Century Gothic" w:eastAsia="Times New Roman" w:hAnsi="Century Gothic" w:cs="Times New Roman"/>
          <w:b/>
          <w:u w:val="single"/>
          <w:lang w:eastAsia="fr-FR"/>
        </w:rPr>
        <w:t>sur le projet</w:t>
      </w:r>
      <w:r w:rsidRPr="00A20555">
        <w:rPr>
          <w:rFonts w:ascii="Century Gothic" w:eastAsia="Times New Roman" w:hAnsi="Century Gothic" w:cs="Times New Roman"/>
          <w:b/>
          <w:lang w:eastAsia="fr-FR"/>
        </w:rPr>
        <w:t xml:space="preserve"> sont considérées comme des valorisations car elles sont sans contrepartie et sans flux financiers de la part de l’OSC. </w:t>
      </w:r>
      <w:r w:rsidRPr="00A20555">
        <w:rPr>
          <w:rFonts w:ascii="Century Gothic" w:eastAsia="Times New Roman" w:hAnsi="Century Gothic" w:cs="Times New Roman"/>
          <w:lang w:eastAsia="fr-FR"/>
        </w:rPr>
        <w:t>Les contributions apportées par des partenaires qui</w:t>
      </w:r>
      <w:r w:rsidR="000E08F3" w:rsidRPr="00A20555">
        <w:rPr>
          <w:rFonts w:ascii="Century Gothic" w:eastAsia="Times New Roman" w:hAnsi="Century Gothic" w:cs="Times New Roman"/>
          <w:lang w:eastAsia="fr-FR"/>
        </w:rPr>
        <w:t xml:space="preserve"> sont financés sur le projet </w:t>
      </w:r>
      <w:r w:rsidRPr="00A20555">
        <w:rPr>
          <w:rFonts w:ascii="Century Gothic" w:eastAsia="Times New Roman" w:hAnsi="Century Gothic" w:cs="Times New Roman"/>
          <w:lang w:eastAsia="fr-FR"/>
        </w:rPr>
        <w:t>sont à inscrire en cofinancement.</w:t>
      </w:r>
    </w:p>
    <w:p w14:paraId="77ED5912" w14:textId="4A369669" w:rsidR="00776E6D" w:rsidRPr="00A42B98" w:rsidRDefault="00776E6D" w:rsidP="00776E6D">
      <w:pPr>
        <w:spacing w:before="88"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valorisations ne peuvent pas apparaître dans les contributions de l’AFD et des ministères français. Elles ne peuvent figurer que parmi les "Autres ressources mobilisées", et sont, en toutes circonstances, plafonnées à</w:t>
      </w:r>
      <w:r w:rsidRPr="00A42B98">
        <w:rPr>
          <w:rFonts w:ascii="Century Gothic" w:eastAsia="Times New Roman" w:hAnsi="Century Gothic" w:cs="Calibri"/>
          <w:b/>
          <w:lang w:eastAsia="fr-FR"/>
        </w:rPr>
        <w:t xml:space="preserve"> 25 % maximum</w:t>
      </w:r>
      <w:r w:rsidRPr="00A42B98">
        <w:rPr>
          <w:rFonts w:ascii="Century Gothic" w:eastAsia="Times New Roman" w:hAnsi="Century Gothic" w:cs="Calibri"/>
          <w:lang w:eastAsia="fr-FR"/>
        </w:rPr>
        <w:t xml:space="preserve"> du budget total du projet (valorisations privées et publiques confondues). </w:t>
      </w:r>
      <w:r w:rsidRPr="00A42B98">
        <w:rPr>
          <w:rFonts w:ascii="Century Gothic" w:eastAsia="Times New Roman" w:hAnsi="Century Gothic" w:cs="Calibri"/>
          <w:b/>
          <w:lang w:eastAsia="fr-FR"/>
        </w:rPr>
        <w:t>Elles doivent être explicitement prévues comme dépenses et comme ressources dans le budget initial du projet</w:t>
      </w:r>
      <w:r w:rsidRPr="00A42B98">
        <w:rPr>
          <w:rFonts w:ascii="Century Gothic" w:eastAsia="Times New Roman" w:hAnsi="Century Gothic" w:cs="Calibri"/>
          <w:lang w:eastAsia="fr-FR"/>
        </w:rPr>
        <w:t>.</w:t>
      </w:r>
      <w:r w:rsidR="007C2FCF" w:rsidRPr="00A42B98">
        <w:rPr>
          <w:rFonts w:ascii="Century Gothic" w:eastAsia="Times New Roman" w:hAnsi="Century Gothic" w:cs="Calibri"/>
          <w:lang w:eastAsia="fr-FR"/>
        </w:rPr>
        <w:t xml:space="preserve"> Le total des ressources doit toujours être égal au total des dépenses.</w:t>
      </w:r>
    </w:p>
    <w:p w14:paraId="745C40A0" w14:textId="77777777" w:rsidR="0089445C" w:rsidRPr="00A42B98" w:rsidRDefault="0089445C" w:rsidP="00776E6D">
      <w:pPr>
        <w:spacing w:before="92" w:after="0" w:line="242" w:lineRule="auto"/>
        <w:jc w:val="both"/>
        <w:rPr>
          <w:rFonts w:ascii="Century Gothic" w:eastAsia="Times New Roman" w:hAnsi="Century Gothic" w:cs="Calibri"/>
          <w:lang w:eastAsia="fr-FR"/>
        </w:rPr>
      </w:pPr>
    </w:p>
    <w:p w14:paraId="677EF981" w14:textId="1ACE388D"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Ces valorisations peuvent correspondre à d</w:t>
      </w:r>
      <w:r w:rsidR="00B737FF" w:rsidRPr="00A42B98">
        <w:rPr>
          <w:rFonts w:ascii="Century Gothic" w:eastAsia="Times New Roman" w:hAnsi="Century Gothic" w:cs="Calibri"/>
          <w:lang w:eastAsia="fr-FR"/>
        </w:rPr>
        <w:t xml:space="preserve">es apports humains ou matériels </w:t>
      </w:r>
      <w:r w:rsidR="000E08F3" w:rsidRPr="00A42B98">
        <w:rPr>
          <w:rFonts w:ascii="Century Gothic" w:eastAsia="Times New Roman" w:hAnsi="Century Gothic" w:cs="Calibri"/>
          <w:lang w:eastAsia="fr-FR"/>
        </w:rPr>
        <w:t>ou en services</w:t>
      </w:r>
    </w:p>
    <w:p w14:paraId="1EEBF929" w14:textId="454E1C69" w:rsidR="007B727D" w:rsidRPr="00A42B98" w:rsidRDefault="007B727D" w:rsidP="00776E6D">
      <w:pPr>
        <w:spacing w:before="92" w:after="0" w:line="242" w:lineRule="auto"/>
        <w:jc w:val="both"/>
        <w:rPr>
          <w:rFonts w:ascii="Century Gothic" w:eastAsia="Times New Roman" w:hAnsi="Century Gothic" w:cs="Calibri"/>
          <w:lang w:eastAsia="fr-FR"/>
        </w:rPr>
      </w:pPr>
    </w:p>
    <w:p w14:paraId="05CB2FB4" w14:textId="4D3DBE9D" w:rsidR="00776E6D" w:rsidRPr="00A42B98" w:rsidRDefault="00776E6D" w:rsidP="00776E6D">
      <w:pPr>
        <w:numPr>
          <w:ilvl w:val="0"/>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 xml:space="preserve">L’OSC doit compléter </w:t>
      </w:r>
      <w:r w:rsidR="00BA7408" w:rsidRPr="00A42B98">
        <w:rPr>
          <w:rFonts w:ascii="Century Gothic" w:eastAsia="Cambria" w:hAnsi="Century Gothic" w:cs="Calibri"/>
        </w:rPr>
        <w:t xml:space="preserve">le </w:t>
      </w:r>
      <w:r w:rsidRPr="00A42B98">
        <w:rPr>
          <w:rFonts w:ascii="Century Gothic" w:eastAsia="Cambria" w:hAnsi="Century Gothic" w:cs="Calibri"/>
        </w:rPr>
        <w:t xml:space="preserve">tableau spécifique </w:t>
      </w:r>
      <w:r w:rsidR="00BA7408" w:rsidRPr="00A42B98">
        <w:rPr>
          <w:rFonts w:ascii="Century Gothic" w:eastAsia="Cambria" w:hAnsi="Century Gothic" w:cs="Calibri"/>
        </w:rPr>
        <w:t xml:space="preserve">de l’onglet Valorisations, </w:t>
      </w:r>
      <w:r w:rsidRPr="00A42B98">
        <w:rPr>
          <w:rFonts w:ascii="Century Gothic" w:eastAsia="Cambria" w:hAnsi="Century Gothic" w:cs="Calibri"/>
        </w:rPr>
        <w:t>détaillant le contenu des valorisations en indiquant le mode de calcul (</w:t>
      </w:r>
      <w:r w:rsidR="00C07190" w:rsidRPr="00A42B98">
        <w:rPr>
          <w:rFonts w:ascii="Century Gothic" w:eastAsia="Cambria" w:hAnsi="Century Gothic" w:cs="Calibri"/>
        </w:rPr>
        <w:t xml:space="preserve">valeur vénale ou marchande des biens ou services, </w:t>
      </w:r>
      <w:r w:rsidRPr="00A42B98">
        <w:rPr>
          <w:rFonts w:ascii="Century Gothic" w:eastAsia="Cambria" w:hAnsi="Century Gothic" w:cs="Calibri"/>
        </w:rPr>
        <w:t xml:space="preserve">nombre d’heures et coût(s) horaire(s)), </w:t>
      </w:r>
      <w:r w:rsidR="00AF4599" w:rsidRPr="00A42B98">
        <w:rPr>
          <w:rFonts w:ascii="Century Gothic" w:eastAsia="Cambria" w:hAnsi="Century Gothic" w:cs="Calibri"/>
        </w:rPr>
        <w:t xml:space="preserve">la fonction </w:t>
      </w:r>
      <w:r w:rsidRPr="00A42B98">
        <w:rPr>
          <w:rFonts w:ascii="Century Gothic" w:eastAsia="Cambria" w:hAnsi="Century Gothic" w:cs="Calibri"/>
        </w:rPr>
        <w:t>et le statut des personnes concernées. Si les personnes ne sont pas encore connues, l’OSC donnera une information sur les compétences qu’elle envisage de mobiliser</w:t>
      </w:r>
      <w:r w:rsidR="00C07190" w:rsidRPr="00A42B98">
        <w:rPr>
          <w:rFonts w:ascii="Century Gothic" w:eastAsia="Cambria" w:hAnsi="Century Gothic" w:cs="Calibri"/>
        </w:rPr>
        <w:t>).</w:t>
      </w:r>
    </w:p>
    <w:p w14:paraId="5EF1B5AD"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79D38AE8" w14:textId="54C65C62" w:rsidR="00776E6D" w:rsidRPr="00A20555" w:rsidRDefault="00776E6D" w:rsidP="00776E6D">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Ce tableau doit être actualisé à chaque nouvelle transmission du budget prévisionnel détaillé à DPA/OSC.</w:t>
      </w:r>
    </w:p>
    <w:p w14:paraId="61476671" w14:textId="592EE7F7" w:rsidR="00776E6D" w:rsidRPr="00A42B98" w:rsidRDefault="009B78B5"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I-</w:t>
      </w:r>
      <w:r w:rsidR="00776E6D" w:rsidRPr="00A42B98">
        <w:rPr>
          <w:rFonts w:ascii="Century Gothic" w:eastAsia="Times New Roman" w:hAnsi="Century Gothic" w:cs="Arial"/>
          <w:b/>
          <w:bCs/>
          <w:iCs/>
          <w:w w:val="95"/>
          <w:u w:val="single"/>
          <w:lang w:eastAsia="fr-FR"/>
        </w:rPr>
        <w:t>Apports matériels</w:t>
      </w:r>
      <w:r w:rsidR="00B737FF" w:rsidRPr="00A42B98">
        <w:rPr>
          <w:rFonts w:ascii="Century Gothic" w:eastAsia="Times New Roman" w:hAnsi="Century Gothic" w:cs="Arial"/>
          <w:b/>
          <w:bCs/>
          <w:iCs/>
          <w:w w:val="95"/>
          <w:u w:val="single"/>
          <w:lang w:eastAsia="fr-FR"/>
        </w:rPr>
        <w:t xml:space="preserve"> en biens ou autres services (hors mécénat de compétence</w:t>
      </w:r>
      <w:r w:rsidR="000E08F3" w:rsidRPr="00A42B98">
        <w:rPr>
          <w:rFonts w:ascii="Century Gothic" w:eastAsia="Times New Roman" w:hAnsi="Century Gothic" w:cs="Arial"/>
          <w:b/>
          <w:bCs/>
          <w:iCs/>
          <w:w w:val="95"/>
          <w:u w:val="single"/>
          <w:lang w:eastAsia="fr-FR"/>
        </w:rPr>
        <w:t>s</w:t>
      </w:r>
      <w:r w:rsidR="00B737FF" w:rsidRPr="00A42B98">
        <w:rPr>
          <w:rFonts w:ascii="Century Gothic" w:eastAsia="Times New Roman" w:hAnsi="Century Gothic" w:cs="Arial"/>
          <w:b/>
          <w:bCs/>
          <w:iCs/>
          <w:w w:val="95"/>
          <w:u w:val="single"/>
          <w:lang w:eastAsia="fr-FR"/>
        </w:rPr>
        <w:t>)</w:t>
      </w:r>
    </w:p>
    <w:p w14:paraId="174067B0" w14:textId="4B0F4D2B" w:rsidR="00B737FF" w:rsidRPr="00A42B98" w:rsidRDefault="00B737FF"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Arial"/>
          <w:bCs/>
          <w:iCs/>
          <w:w w:val="95"/>
          <w:lang w:eastAsia="fr-FR"/>
        </w:rPr>
        <w:t>L</w:t>
      </w:r>
      <w:r w:rsidRPr="00A42B98">
        <w:rPr>
          <w:rFonts w:ascii="Century Gothic" w:eastAsia="Times New Roman" w:hAnsi="Century Gothic" w:cs="Calibri"/>
          <w:lang w:eastAsia="fr-FR"/>
        </w:rPr>
        <w:t xml:space="preserve">es contributions en biens correspondent à des biens meubles (marchandises, fournitures, denrées </w:t>
      </w:r>
      <w:r w:rsidR="0027604D" w:rsidRPr="00A42B98">
        <w:rPr>
          <w:rFonts w:ascii="Century Gothic" w:eastAsia="Times New Roman" w:hAnsi="Century Gothic" w:cs="Calibri"/>
          <w:lang w:eastAsia="fr-FR"/>
        </w:rPr>
        <w:t>alimentaires…</w:t>
      </w:r>
      <w:r w:rsidRPr="00A42B98">
        <w:rPr>
          <w:rFonts w:ascii="Century Gothic" w:eastAsia="Times New Roman" w:hAnsi="Century Gothic" w:cs="Calibri"/>
          <w:lang w:eastAsia="fr-FR"/>
        </w:rPr>
        <w:t xml:space="preserve">) ou immeubles (locaux, </w:t>
      </w:r>
      <w:r w:rsidR="00B856B1" w:rsidRPr="00A42B98">
        <w:rPr>
          <w:rFonts w:ascii="Century Gothic" w:eastAsia="Times New Roman" w:hAnsi="Century Gothic" w:cs="Calibri"/>
          <w:lang w:eastAsia="fr-FR"/>
        </w:rPr>
        <w:t>maisons…</w:t>
      </w:r>
      <w:r w:rsidRPr="00A42B98">
        <w:rPr>
          <w:rFonts w:ascii="Century Gothic" w:eastAsia="Times New Roman" w:hAnsi="Century Gothic" w:cs="Calibri"/>
          <w:lang w:eastAsia="fr-FR"/>
        </w:rPr>
        <w:t>) données gratuitement pour la réalisation d’actions ou projets.</w:t>
      </w:r>
    </w:p>
    <w:p w14:paraId="24B76E74" w14:textId="3E29EEDF" w:rsidR="00B737FF" w:rsidRPr="00A42B98" w:rsidRDefault="00B737FF"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contributions en services, </w:t>
      </w:r>
      <w:r w:rsidR="00F53C82" w:rsidRPr="00A42B98">
        <w:rPr>
          <w:rFonts w:ascii="Century Gothic" w:eastAsia="Times New Roman" w:hAnsi="Century Gothic" w:cs="Calibri"/>
          <w:lang w:eastAsia="fr-FR"/>
        </w:rPr>
        <w:t>correspondent</w:t>
      </w:r>
      <w:r w:rsidRPr="00A42B98">
        <w:rPr>
          <w:rFonts w:ascii="Century Gothic" w:eastAsia="Times New Roman" w:hAnsi="Century Gothic" w:cs="Calibri"/>
          <w:lang w:eastAsia="fr-FR"/>
        </w:rPr>
        <w:t xml:space="preserve"> </w:t>
      </w:r>
      <w:r w:rsidR="00D85909" w:rsidRPr="00A42B98">
        <w:rPr>
          <w:rFonts w:ascii="Century Gothic" w:eastAsia="Times New Roman" w:hAnsi="Century Gothic" w:cs="Calibri"/>
          <w:lang w:eastAsia="fr-FR"/>
        </w:rPr>
        <w:t xml:space="preserve">à la fourniture gratuite de services non humains : </w:t>
      </w:r>
      <w:r w:rsidR="009B78B5" w:rsidRPr="00A42B98">
        <w:rPr>
          <w:rFonts w:ascii="Century Gothic" w:eastAsia="Times New Roman" w:hAnsi="Century Gothic" w:cs="Calibri"/>
          <w:lang w:eastAsia="fr-FR"/>
        </w:rPr>
        <w:t xml:space="preserve"> mis</w:t>
      </w:r>
      <w:r w:rsidR="00C07190" w:rsidRPr="00A42B98">
        <w:rPr>
          <w:rFonts w:ascii="Century Gothic" w:eastAsia="Times New Roman" w:hAnsi="Century Gothic" w:cs="Calibri"/>
          <w:lang w:eastAsia="fr-FR"/>
        </w:rPr>
        <w:t>e</w:t>
      </w:r>
      <w:r w:rsidRPr="00A42B98">
        <w:rPr>
          <w:rFonts w:ascii="Century Gothic" w:eastAsia="Times New Roman" w:hAnsi="Century Gothic" w:cs="Calibri"/>
          <w:lang w:eastAsia="fr-FR"/>
        </w:rPr>
        <w:t xml:space="preserve"> à dispositions gratuite de locaux, de matériels</w:t>
      </w:r>
      <w:r w:rsidR="00D85909" w:rsidRPr="00A42B98">
        <w:rPr>
          <w:rFonts w:ascii="Century Gothic" w:eastAsia="Times New Roman" w:hAnsi="Century Gothic" w:cs="Calibri"/>
          <w:lang w:eastAsia="fr-FR"/>
        </w:rPr>
        <w:t xml:space="preserve">, moyens de transport, </w:t>
      </w:r>
      <w:r w:rsidRPr="00A42B98">
        <w:rPr>
          <w:rFonts w:ascii="Century Gothic" w:eastAsia="Times New Roman" w:hAnsi="Century Gothic" w:cs="Calibri"/>
          <w:lang w:eastAsia="fr-FR"/>
        </w:rPr>
        <w:t>téléphones, services de photocopies, …</w:t>
      </w:r>
    </w:p>
    <w:p w14:paraId="469D188F" w14:textId="7A4C1415" w:rsidR="00B737FF" w:rsidRPr="00A42B98" w:rsidRDefault="00B737FF"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La valorisation de ces contributions volontaires en nature correspond à la valeur vénale ou marchande desdits biens ou services. Il en est de même pour les biens d’occasion. Elles se justifient par tout moyen sur la même période et la même zone géographique.</w:t>
      </w:r>
    </w:p>
    <w:p w14:paraId="24EFB6E4" w14:textId="3D8DB7E4" w:rsidR="001043EE" w:rsidRPr="00A42B98" w:rsidRDefault="001043EE"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Dans le cadre des plateformes/collectifs (projets "intérêt général"), les OSC peuvent valoriser les apports matériels des associations membres.</w:t>
      </w:r>
    </w:p>
    <w:p w14:paraId="384235E0" w14:textId="43417F4F" w:rsidR="001043EE" w:rsidRPr="00A42B98" w:rsidRDefault="001043EE"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lastRenderedPageBreak/>
        <w:t xml:space="preserve">Les frais des bénévoles qui ne sont pas remboursés et qui sont abandonnés par le </w:t>
      </w:r>
      <w:r w:rsidR="004D51F6" w:rsidRPr="00A42B98">
        <w:rPr>
          <w:rFonts w:ascii="Century Gothic" w:eastAsia="Times New Roman" w:hAnsi="Century Gothic" w:cs="Calibri"/>
          <w:lang w:eastAsia="fr-FR"/>
        </w:rPr>
        <w:t>bénéficiaire</w:t>
      </w:r>
      <w:r w:rsidR="007B727D"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au travers d’un document écrit et signé</w:t>
      </w:r>
      <w:r w:rsidR="008053F5"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 xml:space="preserve">peuvent être considérés comme des contributions en nature de </w:t>
      </w:r>
      <w:r w:rsidR="004D51F6" w:rsidRPr="00A42B98">
        <w:rPr>
          <w:rFonts w:ascii="Century Gothic" w:eastAsia="Times New Roman" w:hAnsi="Century Gothic" w:cs="Calibri"/>
          <w:lang w:eastAsia="fr-FR"/>
        </w:rPr>
        <w:t>biens</w:t>
      </w:r>
      <w:r w:rsidRPr="00A42B98">
        <w:rPr>
          <w:rFonts w:ascii="Century Gothic" w:eastAsia="Times New Roman" w:hAnsi="Century Gothic" w:cs="Calibri"/>
          <w:lang w:eastAsia="fr-FR"/>
        </w:rPr>
        <w:t xml:space="preserve"> et </w:t>
      </w:r>
      <w:r w:rsidR="004D51F6" w:rsidRPr="00A42B98">
        <w:rPr>
          <w:rFonts w:ascii="Century Gothic" w:eastAsia="Times New Roman" w:hAnsi="Century Gothic" w:cs="Calibri"/>
          <w:lang w:eastAsia="fr-FR"/>
        </w:rPr>
        <w:t>valorisés</w:t>
      </w:r>
      <w:r w:rsidRPr="00A42B98">
        <w:rPr>
          <w:rFonts w:ascii="Century Gothic" w:eastAsia="Times New Roman" w:hAnsi="Century Gothic" w:cs="Calibri"/>
          <w:lang w:eastAsia="fr-FR"/>
        </w:rPr>
        <w:t xml:space="preserve"> au montant réel des frais abandonnés.</w:t>
      </w:r>
    </w:p>
    <w:p w14:paraId="5F443F06" w14:textId="77777777" w:rsidR="001043EE" w:rsidRPr="00A42B98" w:rsidRDefault="001043EE" w:rsidP="007B727D">
      <w:pPr>
        <w:spacing w:after="120" w:line="240" w:lineRule="auto"/>
        <w:contextualSpacing/>
        <w:jc w:val="both"/>
        <w:rPr>
          <w:rFonts w:ascii="Century Gothic" w:eastAsia="Cambria" w:hAnsi="Century Gothic" w:cs="Calibri"/>
        </w:rPr>
      </w:pPr>
    </w:p>
    <w:p w14:paraId="0B31ED72" w14:textId="7B884842" w:rsidR="00776E6D" w:rsidRPr="00A42B98" w:rsidRDefault="00776E6D" w:rsidP="007B727D">
      <w:pPr>
        <w:spacing w:before="92"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w:t>
      </w:r>
      <w:r w:rsidR="00B35E3A" w:rsidRPr="00A42B98">
        <w:rPr>
          <w:rFonts w:ascii="Century Gothic" w:eastAsia="Times New Roman" w:hAnsi="Century Gothic" w:cs="Calibri"/>
          <w:lang w:eastAsia="fr-FR"/>
        </w:rPr>
        <w:t>contributions en</w:t>
      </w:r>
      <w:r w:rsidR="001043EE" w:rsidRPr="00A42B98">
        <w:rPr>
          <w:rFonts w:ascii="Century Gothic" w:eastAsia="Times New Roman" w:hAnsi="Century Gothic" w:cs="Calibri"/>
          <w:lang w:eastAsia="fr-FR"/>
        </w:rPr>
        <w:t xml:space="preserve"> biens </w:t>
      </w:r>
      <w:r w:rsidRPr="00A42B98">
        <w:rPr>
          <w:rFonts w:ascii="Century Gothic" w:eastAsia="Times New Roman" w:hAnsi="Century Gothic" w:cs="Calibri"/>
          <w:lang w:eastAsia="fr-FR"/>
        </w:rPr>
        <w:t xml:space="preserve">ne peuvent pas être valorisés dans les </w:t>
      </w:r>
      <w:r w:rsidR="001043EE" w:rsidRPr="00A42B98">
        <w:rPr>
          <w:rFonts w:ascii="Century Gothic" w:eastAsia="Times New Roman" w:hAnsi="Century Gothic" w:cs="Calibri"/>
          <w:lang w:eastAsia="fr-FR"/>
        </w:rPr>
        <w:t>trois</w:t>
      </w:r>
      <w:r w:rsidR="007D3674"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cas suivants</w:t>
      </w:r>
      <w:r w:rsidR="00B35E3A" w:rsidRPr="00A42B98">
        <w:rPr>
          <w:rFonts w:ascii="Century Gothic" w:eastAsia="Times New Roman" w:hAnsi="Century Gothic" w:cs="Calibri"/>
          <w:lang w:eastAsia="fr-FR"/>
        </w:rPr>
        <w:t xml:space="preserve"> (projet « terrain » et projets « intérêt général)</w:t>
      </w:r>
      <w:r w:rsidRPr="00A42B98">
        <w:rPr>
          <w:rFonts w:ascii="Century Gothic" w:eastAsia="Times New Roman" w:hAnsi="Century Gothic" w:cs="Calibri"/>
          <w:lang w:eastAsia="fr-FR"/>
        </w:rPr>
        <w:t xml:space="preserve"> :</w:t>
      </w:r>
    </w:p>
    <w:p w14:paraId="4A3CEC10" w14:textId="6BA2CBEB" w:rsidR="001043EE" w:rsidRPr="00A42B98" w:rsidRDefault="001043EE" w:rsidP="00BA7408">
      <w:pPr>
        <w:numPr>
          <w:ilvl w:val="0"/>
          <w:numId w:val="3"/>
        </w:numPr>
        <w:spacing w:after="120" w:line="240" w:lineRule="auto"/>
        <w:ind w:left="709" w:hanging="349"/>
        <w:contextualSpacing/>
        <w:jc w:val="both"/>
        <w:rPr>
          <w:rFonts w:ascii="Century Gothic" w:eastAsia="Cambria" w:hAnsi="Century Gothic" w:cs="Calibri"/>
        </w:rPr>
      </w:pPr>
      <w:r w:rsidRPr="00A42B98">
        <w:rPr>
          <w:rFonts w:ascii="Century Gothic" w:eastAsia="Times New Roman" w:hAnsi="Century Gothic" w:cs="Calibri"/>
          <w:lang w:eastAsia="fr-FR"/>
        </w:rPr>
        <w:t>les biens reçus gratuitement sont utilisés directement par l’OSC pour ses besoins propres</w:t>
      </w:r>
      <w:r w:rsidR="00B35E3A" w:rsidRPr="00A42B98">
        <w:rPr>
          <w:rFonts w:ascii="Century Gothic" w:eastAsia="Times New Roman" w:hAnsi="Century Gothic" w:cs="Calibri"/>
          <w:lang w:eastAsia="fr-FR"/>
        </w:rPr>
        <w:t> ;</w:t>
      </w:r>
    </w:p>
    <w:p w14:paraId="0E4D8A19" w14:textId="58D30327" w:rsidR="007D3674" w:rsidRPr="00A42B98" w:rsidRDefault="00776E6D" w:rsidP="00BA7408">
      <w:pPr>
        <w:keepNext/>
        <w:numPr>
          <w:ilvl w:val="0"/>
          <w:numId w:val="3"/>
        </w:numPr>
        <w:tabs>
          <w:tab w:val="num" w:pos="709"/>
        </w:tabs>
        <w:spacing w:before="240" w:after="120" w:line="240" w:lineRule="auto"/>
        <w:ind w:left="709" w:hanging="349"/>
        <w:contextualSpacing/>
        <w:jc w:val="both"/>
        <w:outlineLvl w:val="1"/>
        <w:rPr>
          <w:rFonts w:ascii="Century Gothic" w:eastAsia="Cambria" w:hAnsi="Century Gothic" w:cs="Calibri"/>
        </w:rPr>
      </w:pPr>
      <w:r w:rsidRPr="00A42B98">
        <w:rPr>
          <w:rFonts w:ascii="Century Gothic" w:eastAsia="Cambria" w:hAnsi="Century Gothic" w:cs="Calibri"/>
        </w:rPr>
        <w:t>les biens ont été acquis dans le cadre d’un précédent projet financé par l’AFD ou tout autre bailleur ;</w:t>
      </w:r>
    </w:p>
    <w:p w14:paraId="64DF770F" w14:textId="365F710B" w:rsidR="007D3674" w:rsidRPr="00A42B98" w:rsidRDefault="00776E6D" w:rsidP="00BA7408">
      <w:pPr>
        <w:keepNext/>
        <w:numPr>
          <w:ilvl w:val="0"/>
          <w:numId w:val="3"/>
        </w:numPr>
        <w:tabs>
          <w:tab w:val="num" w:pos="709"/>
        </w:tabs>
        <w:spacing w:before="240" w:after="120" w:line="240" w:lineRule="auto"/>
        <w:ind w:left="709" w:hanging="349"/>
        <w:contextualSpacing/>
        <w:jc w:val="both"/>
        <w:outlineLvl w:val="1"/>
        <w:rPr>
          <w:rFonts w:ascii="Century Gothic" w:hAnsi="Century Gothic" w:cs="Calibri"/>
        </w:rPr>
      </w:pPr>
      <w:r w:rsidRPr="00A42B98">
        <w:rPr>
          <w:rFonts w:ascii="Century Gothic" w:eastAsia="Cambria" w:hAnsi="Century Gothic" w:cs="Calibri"/>
        </w:rPr>
        <w:t xml:space="preserve">les biens appartiennent à l’OSC qui met en œuvre le projet </w:t>
      </w:r>
    </w:p>
    <w:p w14:paraId="678400EB" w14:textId="11CBDB00" w:rsidR="00776E6D" w:rsidRPr="00A42B98" w:rsidRDefault="009B78B5"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II-</w:t>
      </w:r>
      <w:r w:rsidR="00776E6D" w:rsidRPr="00A42B98">
        <w:rPr>
          <w:rFonts w:ascii="Century Gothic" w:eastAsia="Times New Roman" w:hAnsi="Century Gothic" w:cs="Arial"/>
          <w:b/>
          <w:bCs/>
          <w:iCs/>
          <w:w w:val="95"/>
          <w:u w:val="single"/>
          <w:lang w:eastAsia="fr-FR"/>
        </w:rPr>
        <w:t>Apports humains</w:t>
      </w:r>
    </w:p>
    <w:p w14:paraId="549D53C9" w14:textId="6DF692DF" w:rsidR="00380566" w:rsidRPr="00A42B98" w:rsidRDefault="00380566"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p>
    <w:p w14:paraId="276D63C2" w14:textId="4A80AFE9" w:rsidR="00380566" w:rsidRPr="00A42B98" w:rsidRDefault="00790F8D" w:rsidP="00380566">
      <w:pPr>
        <w:pStyle w:val="Paragraphedeliste"/>
        <w:keepNext/>
        <w:tabs>
          <w:tab w:val="num" w:pos="709"/>
        </w:tabs>
        <w:spacing w:before="240" w:after="120"/>
        <w:ind w:left="709" w:hanging="709"/>
        <w:outlineLvl w:val="1"/>
        <w:rPr>
          <w:rFonts w:ascii="Century Gothic" w:eastAsia="Times New Roman" w:hAnsi="Century Gothic" w:cs="Arial"/>
          <w:b/>
          <w:bCs/>
          <w:iCs/>
          <w:w w:val="95"/>
          <w:sz w:val="22"/>
          <w:szCs w:val="22"/>
          <w:u w:val="single"/>
          <w:lang w:eastAsia="fr-FR"/>
        </w:rPr>
      </w:pPr>
      <w:r>
        <w:rPr>
          <w:rFonts w:ascii="Century Gothic" w:eastAsia="Times New Roman" w:hAnsi="Century Gothic" w:cs="Arial"/>
          <w:b/>
          <w:bCs/>
          <w:iCs/>
          <w:w w:val="95"/>
          <w:sz w:val="22"/>
          <w:szCs w:val="22"/>
          <w:u w:val="single"/>
          <w:lang w:eastAsia="fr-FR"/>
        </w:rPr>
        <w:t xml:space="preserve">II.1 </w:t>
      </w:r>
      <w:r w:rsidR="00380566" w:rsidRPr="00A42B98">
        <w:rPr>
          <w:rFonts w:ascii="Century Gothic" w:eastAsia="Times New Roman" w:hAnsi="Century Gothic" w:cs="Arial"/>
          <w:b/>
          <w:bCs/>
          <w:iCs/>
          <w:w w:val="95"/>
          <w:sz w:val="22"/>
          <w:szCs w:val="22"/>
          <w:u w:val="single"/>
          <w:lang w:eastAsia="fr-FR"/>
        </w:rPr>
        <w:t>Mécénat</w:t>
      </w:r>
      <w:r w:rsidR="005327FB" w:rsidRPr="00A42B98">
        <w:rPr>
          <w:rFonts w:ascii="Century Gothic" w:eastAsia="Times New Roman" w:hAnsi="Century Gothic" w:cs="Arial"/>
          <w:b/>
          <w:bCs/>
          <w:iCs/>
          <w:w w:val="95"/>
          <w:sz w:val="22"/>
          <w:szCs w:val="22"/>
          <w:u w:val="single"/>
          <w:lang w:eastAsia="fr-FR"/>
        </w:rPr>
        <w:t xml:space="preserve"> de compétence</w:t>
      </w:r>
    </w:p>
    <w:p w14:paraId="14BF8F0E" w14:textId="05A3228B" w:rsidR="00380566" w:rsidRPr="00A42B98" w:rsidRDefault="00380566" w:rsidP="00B856B1">
      <w:pPr>
        <w:pStyle w:val="Paragraphedeliste"/>
        <w:ind w:left="0"/>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 xml:space="preserve">Les prestations de services spécifiques (ingénieurs, architectes, </w:t>
      </w:r>
      <w:r w:rsidR="00B856B1" w:rsidRPr="00A42B98">
        <w:rPr>
          <w:rFonts w:ascii="Century Gothic" w:eastAsia="Times New Roman" w:hAnsi="Century Gothic"/>
          <w:sz w:val="22"/>
          <w:szCs w:val="22"/>
          <w:lang w:eastAsia="fr-FR"/>
        </w:rPr>
        <w:t>experts…</w:t>
      </w:r>
      <w:r w:rsidRPr="00A42B98">
        <w:rPr>
          <w:rFonts w:ascii="Century Gothic" w:eastAsia="Times New Roman" w:hAnsi="Century Gothic"/>
          <w:sz w:val="22"/>
          <w:szCs w:val="22"/>
          <w:lang w:eastAsia="fr-FR"/>
        </w:rPr>
        <w:t>) fournies gratuitement à l’OSC pour la réalisation du projet. Leurs valorisations correspondent aux honoraires des prestations et sont justifiées par une attestation de l’entreprise mécène.</w:t>
      </w:r>
    </w:p>
    <w:p w14:paraId="5AA535FC" w14:textId="582050F6" w:rsidR="003B47E6" w:rsidRPr="00A42B98" w:rsidRDefault="00790F8D" w:rsidP="003B47E6">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Pr>
          <w:rFonts w:ascii="Century Gothic" w:eastAsia="Times New Roman" w:hAnsi="Century Gothic" w:cs="Arial"/>
          <w:b/>
          <w:bCs/>
          <w:iCs/>
          <w:w w:val="95"/>
          <w:u w:val="single"/>
          <w:lang w:eastAsia="fr-FR"/>
        </w:rPr>
        <w:t xml:space="preserve">II.2 </w:t>
      </w:r>
      <w:r w:rsidR="003B47E6" w:rsidRPr="00A42B98">
        <w:rPr>
          <w:rFonts w:ascii="Century Gothic" w:eastAsia="Times New Roman" w:hAnsi="Century Gothic" w:cs="Arial"/>
          <w:b/>
          <w:bCs/>
          <w:iCs/>
          <w:w w:val="95"/>
          <w:u w:val="single"/>
          <w:lang w:eastAsia="fr-FR"/>
        </w:rPr>
        <w:t>Valorisation de l’engagement bénévole et citoyen</w:t>
      </w:r>
    </w:p>
    <w:p w14:paraId="0F14ED13" w14:textId="53CEA874" w:rsidR="003B47E6" w:rsidRPr="00A42B98" w:rsidRDefault="003B47E6" w:rsidP="003B47E6">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OSC sont encouragées à valoriser les actions bénévoles et citoyennes entourant le projet soumis au cofinancement de l’AFD. Cela peut passer par exemple par</w:t>
      </w:r>
      <w:r w:rsidR="0092266B" w:rsidRPr="00A42B98">
        <w:rPr>
          <w:rFonts w:ascii="Century Gothic" w:eastAsia="Times New Roman" w:hAnsi="Century Gothic" w:cs="Calibri"/>
          <w:lang w:eastAsia="fr-FR"/>
        </w:rPr>
        <w:t xml:space="preserve"> la valorisation d’actions d’EC</w:t>
      </w:r>
      <w:r w:rsidRPr="00A42B98">
        <w:rPr>
          <w:rFonts w:ascii="Century Gothic" w:eastAsia="Times New Roman" w:hAnsi="Century Gothic" w:cs="Calibri"/>
          <w:lang w:eastAsia="fr-FR"/>
        </w:rPr>
        <w:t>SI (s’appuyant sur le contenu du projet) portées par des bénévoles ou toutes autres actions, au sein de ce projet, induisant ou promouvant un engagement citoyen et bénévole de la part des adhérents de l’association.</w:t>
      </w:r>
    </w:p>
    <w:p w14:paraId="30D7B44A" w14:textId="77777777" w:rsidR="003B47E6" w:rsidRPr="00A42B98" w:rsidRDefault="003B47E6" w:rsidP="003B47E6">
      <w:pPr>
        <w:spacing w:before="92"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Outre le budget, cet aspect doit aussi apparaitre en toute cohérence dans le descriptif du projet au sein de la rubrique 5.4 "contenu du projet". Les actions bénévoles non spécifiques au projet ne sont naturellement pas éligibles à cette valorisation.</w:t>
      </w:r>
    </w:p>
    <w:p w14:paraId="4E243301" w14:textId="4480BB32" w:rsidR="00776E6D" w:rsidRPr="00A42B98" w:rsidRDefault="00776E6D" w:rsidP="007B727D">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 xml:space="preserve">L’OSC peut valoriser son personnel bénévole </w:t>
      </w:r>
    </w:p>
    <w:p w14:paraId="5DC57BF6" w14:textId="77777777" w:rsidR="00776E6D" w:rsidRPr="00A42B98" w:rsidRDefault="00776E6D" w:rsidP="007B727D">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Dans le cadre des plateformes/collectifs (projets "intérêt général"), les OSC peuvent valoriser les apports humains des associations membres.</w:t>
      </w:r>
    </w:p>
    <w:p w14:paraId="7C317AF5" w14:textId="199A5372" w:rsidR="00776E6D" w:rsidRPr="00A42B98" w:rsidRDefault="00776E6D" w:rsidP="007B727D">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Les origines des valorisations de personnels doivent être distinguées : bénévoles (indiquer leur situation actuelle : retraités, étudiants, salariés), mécénat de compétences (acteurs du secteur privé), mise à disposition (</w:t>
      </w:r>
      <w:r w:rsidR="00B507BB" w:rsidRPr="00A42B98">
        <w:rPr>
          <w:rFonts w:ascii="Century Gothic" w:eastAsia="Cambria" w:hAnsi="Century Gothic" w:cs="Calibri"/>
        </w:rPr>
        <w:t xml:space="preserve">salariés </w:t>
      </w:r>
      <w:r w:rsidRPr="00A42B98">
        <w:rPr>
          <w:rFonts w:ascii="Century Gothic" w:eastAsia="Cambria" w:hAnsi="Century Gothic" w:cs="Calibri"/>
        </w:rPr>
        <w:t>du secteur public</w:t>
      </w:r>
      <w:r w:rsidR="00B507BB" w:rsidRPr="00A42B98">
        <w:rPr>
          <w:rFonts w:ascii="Century Gothic" w:eastAsia="Cambria" w:hAnsi="Century Gothic" w:cs="Calibri"/>
        </w:rPr>
        <w:t xml:space="preserve"> ou privé</w:t>
      </w:r>
      <w:r w:rsidRPr="00A42B98">
        <w:rPr>
          <w:rFonts w:ascii="Century Gothic" w:eastAsia="Cambria" w:hAnsi="Century Gothic" w:cs="Calibri"/>
        </w:rPr>
        <w:t>).</w:t>
      </w:r>
    </w:p>
    <w:p w14:paraId="11470D1B" w14:textId="02D1C8E3"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Les</w:t>
      </w:r>
      <w:r w:rsidR="0092266B" w:rsidRPr="00A42B98">
        <w:rPr>
          <w:rFonts w:ascii="Century Gothic" w:eastAsia="Cambria" w:hAnsi="Century Gothic" w:cs="Calibri"/>
        </w:rPr>
        <w:t xml:space="preserve"> actions d’ECSI</w:t>
      </w:r>
      <w:r w:rsidRPr="00A42B98">
        <w:rPr>
          <w:rFonts w:ascii="Century Gothic" w:eastAsia="Cambria" w:hAnsi="Century Gothic" w:cs="Calibri"/>
        </w:rPr>
        <w:t>, portées par des bénévoles, qui entourent la mise en œuvre du projet peuvent être valorisées dans cette rubrique.</w:t>
      </w:r>
    </w:p>
    <w:p w14:paraId="6DCE8146" w14:textId="1E0B9490" w:rsidR="00776E6D" w:rsidRPr="00A42B98" w:rsidRDefault="00776E6D" w:rsidP="00776E6D">
      <w:pPr>
        <w:spacing w:after="0" w:line="240" w:lineRule="auto"/>
        <w:rPr>
          <w:rFonts w:ascii="Century Gothic" w:eastAsia="Times New Roman" w:hAnsi="Century Gothic" w:cs="Times New Roman"/>
          <w:lang w:eastAsia="fr-FR"/>
        </w:rPr>
      </w:pPr>
    </w:p>
    <w:p w14:paraId="3D4F2D48" w14:textId="507FED91" w:rsidR="004D51F6" w:rsidRPr="00A42B98" w:rsidRDefault="004D51F6" w:rsidP="004D51F6">
      <w:pPr>
        <w:spacing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 xml:space="preserve">Ne peuvent pas être considérés comme des temps </w:t>
      </w:r>
      <w:r w:rsidR="00B507BB" w:rsidRPr="00A42B98">
        <w:rPr>
          <w:rFonts w:ascii="Century Gothic" w:eastAsia="Times New Roman" w:hAnsi="Century Gothic" w:cs="Times New Roman"/>
          <w:lang w:eastAsia="fr-FR"/>
        </w:rPr>
        <w:t>bénévoles,</w:t>
      </w:r>
      <w:r w:rsidRPr="00A42B98">
        <w:rPr>
          <w:rFonts w:ascii="Century Gothic" w:eastAsia="Times New Roman" w:hAnsi="Century Gothic" w:cs="Times New Roman"/>
          <w:lang w:eastAsia="fr-FR"/>
        </w:rPr>
        <w:t xml:space="preserve"> les temps passés en dehors de leurs temps de travail par les salariés de l’OSC ou de ses partenaires quand ils sont déjà financés par le projet. En cas de dépassement des temps prévus au budget, revenir vers l’AFD pour modifier éventuellement le budget</w:t>
      </w:r>
      <w:r w:rsidR="00380566" w:rsidRPr="00A42B98">
        <w:rPr>
          <w:rFonts w:ascii="Century Gothic" w:eastAsia="Times New Roman" w:hAnsi="Century Gothic" w:cs="Times New Roman"/>
          <w:lang w:eastAsia="fr-FR"/>
        </w:rPr>
        <w:t>.</w:t>
      </w:r>
    </w:p>
    <w:p w14:paraId="233BECED" w14:textId="7C36E7BF" w:rsidR="009B78B5" w:rsidRPr="00A42B98" w:rsidRDefault="00A739A1" w:rsidP="009B78B5">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lastRenderedPageBreak/>
        <w:t>M</w:t>
      </w:r>
      <w:r w:rsidR="009B78B5" w:rsidRPr="00A42B98">
        <w:rPr>
          <w:rFonts w:ascii="Century Gothic" w:eastAsia="Times New Roman" w:hAnsi="Century Gothic" w:cs="Arial"/>
          <w:b/>
          <w:bCs/>
          <w:iCs/>
          <w:w w:val="95"/>
          <w:u w:val="single"/>
          <w:lang w:eastAsia="fr-FR"/>
        </w:rPr>
        <w:t xml:space="preserve">embres du CA </w:t>
      </w:r>
      <w:r w:rsidRPr="00A42B98">
        <w:rPr>
          <w:rFonts w:ascii="Century Gothic" w:eastAsia="Times New Roman" w:hAnsi="Century Gothic" w:cs="Arial"/>
          <w:b/>
          <w:bCs/>
          <w:iCs/>
          <w:w w:val="95"/>
          <w:u w:val="single"/>
          <w:lang w:eastAsia="fr-FR"/>
        </w:rPr>
        <w:t>de l’OSC</w:t>
      </w:r>
    </w:p>
    <w:p w14:paraId="38D4D40D" w14:textId="20B7CCF6" w:rsidR="00A739A1" w:rsidRPr="00A42B98" w:rsidRDefault="00A739A1" w:rsidP="00B856B1">
      <w:pPr>
        <w:pStyle w:val="Paragraphedeliste"/>
        <w:keepNext/>
        <w:numPr>
          <w:ilvl w:val="0"/>
          <w:numId w:val="2"/>
        </w:numPr>
        <w:tabs>
          <w:tab w:val="num" w:pos="576"/>
        </w:tabs>
        <w:spacing w:after="60"/>
        <w:jc w:val="both"/>
        <w:outlineLvl w:val="1"/>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La participation des membres du CA aux instances de l’OSC ne peut pas être valorisée</w:t>
      </w:r>
      <w:r w:rsidR="00B856B1" w:rsidRPr="00A42B98">
        <w:rPr>
          <w:rFonts w:ascii="Century Gothic" w:eastAsia="Times New Roman" w:hAnsi="Century Gothic"/>
          <w:sz w:val="22"/>
          <w:szCs w:val="22"/>
          <w:lang w:eastAsia="fr-FR"/>
        </w:rPr>
        <w:t>.</w:t>
      </w:r>
    </w:p>
    <w:p w14:paraId="4CFD03FB" w14:textId="77777777" w:rsidR="009B78B5" w:rsidRPr="00A42B98" w:rsidRDefault="009B78B5" w:rsidP="009B78B5">
      <w:pPr>
        <w:pStyle w:val="Paragraphedeliste"/>
        <w:numPr>
          <w:ilvl w:val="0"/>
          <w:numId w:val="2"/>
        </w:numPr>
        <w:spacing w:before="87" w:line="242" w:lineRule="auto"/>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Cependant la participation des membres des instances qui participent individuellement au projet et sont indispensables à sa réalisation peut être valorisée.</w:t>
      </w:r>
    </w:p>
    <w:p w14:paraId="218EA3C1" w14:textId="5C8688AF" w:rsidR="009B78B5" w:rsidRPr="00A42B98" w:rsidRDefault="009B78B5" w:rsidP="009B78B5">
      <w:pPr>
        <w:pStyle w:val="Paragraphedeliste"/>
        <w:numPr>
          <w:ilvl w:val="0"/>
          <w:numId w:val="2"/>
        </w:numPr>
        <w:spacing w:before="87" w:line="242" w:lineRule="auto"/>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De même si les instances et leurs membres sont une partie entière du projet, notamment dans les plateformes ou les réseaux, leur temps passé peut</w:t>
      </w:r>
      <w:r w:rsidR="001022EA" w:rsidRPr="00A42B98">
        <w:rPr>
          <w:rFonts w:ascii="Century Gothic" w:eastAsia="Times New Roman" w:hAnsi="Century Gothic"/>
          <w:sz w:val="22"/>
          <w:szCs w:val="22"/>
          <w:lang w:eastAsia="fr-FR"/>
        </w:rPr>
        <w:t xml:space="preserve"> </w:t>
      </w:r>
      <w:r w:rsidRPr="00A42B98">
        <w:rPr>
          <w:rFonts w:ascii="Century Gothic" w:eastAsia="Times New Roman" w:hAnsi="Century Gothic"/>
          <w:sz w:val="22"/>
          <w:szCs w:val="22"/>
          <w:lang w:eastAsia="fr-FR"/>
        </w:rPr>
        <w:t>être valorisé comme du bénévolat.</w:t>
      </w:r>
    </w:p>
    <w:p w14:paraId="30368E5F" w14:textId="77777777" w:rsidR="00EA095D" w:rsidRPr="00A42B98" w:rsidRDefault="00EA095D" w:rsidP="00EA095D">
      <w:pPr>
        <w:pStyle w:val="Paragraphedeliste"/>
        <w:spacing w:before="87" w:line="242" w:lineRule="auto"/>
        <w:ind w:left="360"/>
        <w:jc w:val="both"/>
        <w:rPr>
          <w:rFonts w:ascii="Century Gothic" w:eastAsia="Times New Roman" w:hAnsi="Century Gothic"/>
          <w:sz w:val="22"/>
          <w:szCs w:val="22"/>
          <w:lang w:eastAsia="fr-FR"/>
        </w:rPr>
      </w:pPr>
    </w:p>
    <w:p w14:paraId="58378638" w14:textId="4E575F94"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Times New Roman" w:hAnsi="Century Gothic" w:cs="Arial"/>
          <w:b/>
          <w:bCs/>
          <w:iCs/>
          <w:w w:val="95"/>
          <w:u w:val="single"/>
          <w:lang w:eastAsia="fr-FR"/>
        </w:rPr>
        <w:t>Règles communes à tous les projets</w:t>
      </w:r>
      <w:r w:rsidR="00B856B1" w:rsidRPr="00A42B98">
        <w:rPr>
          <w:rFonts w:ascii="Century Gothic" w:eastAsia="Times New Roman" w:hAnsi="Century Gothic" w:cs="Arial"/>
          <w:b/>
          <w:bCs/>
          <w:iCs/>
          <w:w w:val="95"/>
          <w:u w:val="single"/>
          <w:lang w:eastAsia="fr-FR"/>
        </w:rPr>
        <w:t xml:space="preserve"> : </w:t>
      </w:r>
      <w:r w:rsidRPr="00A42B98">
        <w:rPr>
          <w:rFonts w:ascii="Century Gothic" w:eastAsia="Cambria" w:hAnsi="Century Gothic" w:cs="Calibri"/>
        </w:rPr>
        <w:t>Valorisation au niveau du siège : forfait unique de 300 euros</w:t>
      </w:r>
      <w:r w:rsidR="00B507BB" w:rsidRPr="00A42B98">
        <w:rPr>
          <w:rFonts w:ascii="Century Gothic" w:eastAsia="Cambria" w:hAnsi="Century Gothic" w:cs="Calibri"/>
        </w:rPr>
        <w:t xml:space="preserve"> maximum</w:t>
      </w:r>
      <w:r w:rsidRPr="00A42B98">
        <w:rPr>
          <w:rFonts w:ascii="Century Gothic" w:eastAsia="Cambria" w:hAnsi="Century Gothic" w:cs="Calibri"/>
        </w:rPr>
        <w:t>/ jour par ressource humaine valorisée (acteur secteur privé ou acteur secteur public ou bénévole - mission siège ou mission terrain) avec un maximum de dix jours par mois. Au-delà, le calcul se fait sur la base d’un taux mensuel fixe de 3 000 euros</w:t>
      </w:r>
      <w:r w:rsidR="00B507BB" w:rsidRPr="00A42B98">
        <w:rPr>
          <w:rFonts w:ascii="Century Gothic" w:eastAsia="Cambria" w:hAnsi="Century Gothic" w:cs="Calibri"/>
        </w:rPr>
        <w:t xml:space="preserve"> maximum</w:t>
      </w:r>
      <w:r w:rsidRPr="00A42B98">
        <w:rPr>
          <w:rFonts w:ascii="Century Gothic" w:eastAsia="Cambria" w:hAnsi="Century Gothic" w:cs="Calibri"/>
        </w:rPr>
        <w:t xml:space="preserve"> par personne concernée mise à disposition.</w:t>
      </w:r>
    </w:p>
    <w:p w14:paraId="6524F519" w14:textId="596D04AF"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b/>
        </w:rPr>
        <w:t>Valorisation</w:t>
      </w:r>
      <w:r w:rsidR="00B856B1" w:rsidRPr="00A42B98">
        <w:rPr>
          <w:rFonts w:ascii="Century Gothic" w:eastAsia="Cambria" w:hAnsi="Century Gothic" w:cs="Calibri"/>
          <w:b/>
        </w:rPr>
        <w:t>s</w:t>
      </w:r>
      <w:r w:rsidRPr="00A42B98">
        <w:rPr>
          <w:rFonts w:ascii="Century Gothic" w:eastAsia="Cambria" w:hAnsi="Century Gothic" w:cs="Calibri"/>
          <w:b/>
        </w:rPr>
        <w:t xml:space="preserve"> au niveau local</w:t>
      </w:r>
      <w:r w:rsidRPr="00A42B98">
        <w:rPr>
          <w:rFonts w:ascii="Century Gothic" w:eastAsia="Cambria" w:hAnsi="Century Gothic" w:cs="Calibri"/>
        </w:rPr>
        <w:t xml:space="preserve"> : le forfait sera établi en fonction du niveau de salaire moyen en vigueur dans le pays concerné ou sur la base de la grille de salaires de l’OSC si elle en possède une.</w:t>
      </w:r>
    </w:p>
    <w:p w14:paraId="28A426FB" w14:textId="0B01115A" w:rsidR="00776E6D" w:rsidRPr="00A42B98" w:rsidRDefault="00C4497F"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Pr>
          <w:rFonts w:ascii="Century Gothic" w:eastAsia="Times New Roman" w:hAnsi="Century Gothic" w:cs="Arial"/>
          <w:b/>
          <w:bCs/>
          <w:iCs/>
          <w:w w:val="95"/>
          <w:u w:val="single"/>
          <w:lang w:eastAsia="fr-FR"/>
        </w:rPr>
        <w:t xml:space="preserve">II.3 </w:t>
      </w:r>
      <w:r w:rsidR="00776E6D" w:rsidRPr="00A42B98">
        <w:rPr>
          <w:rFonts w:ascii="Century Gothic" w:eastAsia="Times New Roman" w:hAnsi="Century Gothic" w:cs="Arial"/>
          <w:b/>
          <w:bCs/>
          <w:iCs/>
          <w:w w:val="95"/>
          <w:u w:val="single"/>
          <w:lang w:eastAsia="fr-FR"/>
        </w:rPr>
        <w:t>Vérification/formalisation des valorisations</w:t>
      </w:r>
    </w:p>
    <w:p w14:paraId="3C783A62" w14:textId="322CCA0F"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L’OSC doit utiliser le(s) justificatif(s) les mieux adaptés à ses besoins (</w:t>
      </w:r>
      <w:r w:rsidR="00B507BB" w:rsidRPr="00A42B98">
        <w:rPr>
          <w:rFonts w:ascii="Century Gothic" w:eastAsia="Times New Roman" w:hAnsi="Century Gothic" w:cs="Calibri"/>
          <w:lang w:eastAsia="fr-FR"/>
        </w:rPr>
        <w:t xml:space="preserve">feuilles de temps ou plannings ou feuilles de présence signés d’un responsable et du bénévole, </w:t>
      </w:r>
      <w:r w:rsidRPr="00A42B98">
        <w:rPr>
          <w:rFonts w:ascii="Century Gothic" w:eastAsia="Times New Roman" w:hAnsi="Century Gothic" w:cs="Calibri"/>
          <w:lang w:eastAsia="fr-FR"/>
        </w:rPr>
        <w:t xml:space="preserve">feuilles d’émargement/attestations sur l’honneur/conventions de bénévolat </w:t>
      </w:r>
      <w:r w:rsidR="00B507BB" w:rsidRPr="00A42B98">
        <w:rPr>
          <w:rFonts w:ascii="Century Gothic" w:eastAsia="Times New Roman" w:hAnsi="Century Gothic" w:cs="Calibri"/>
          <w:lang w:eastAsia="fr-FR"/>
        </w:rPr>
        <w:t>ou de mécénat de compétence</w:t>
      </w:r>
      <w:r w:rsidRPr="00A42B98">
        <w:rPr>
          <w:rFonts w:ascii="Century Gothic" w:eastAsia="Times New Roman" w:hAnsi="Century Gothic" w:cs="Calibri"/>
          <w:lang w:eastAsia="fr-FR"/>
        </w:rPr>
        <w:t>/ attestations d’employeurs</w:t>
      </w:r>
      <w:r w:rsidR="00B507BB" w:rsidRPr="00A42B98">
        <w:rPr>
          <w:rFonts w:ascii="Century Gothic" w:eastAsia="Times New Roman" w:hAnsi="Century Gothic" w:cs="Calibri"/>
          <w:lang w:eastAsia="fr-FR"/>
        </w:rPr>
        <w:t>/attestation de l’entité mécène du montant du coût de revient ou des honoraires correspondant à la prestation fournie gratuitement</w:t>
      </w:r>
      <w:r w:rsidR="00FE6F5B" w:rsidRPr="00A42B98">
        <w:rPr>
          <w:rFonts w:ascii="Century Gothic" w:eastAsia="Times New Roman" w:hAnsi="Century Gothic" w:cs="Calibri"/>
          <w:lang w:eastAsia="fr-FR"/>
        </w:rPr>
        <w:t>/attestation du donateur/devis ou facture pro-forma pour des biens similaires/</w:t>
      </w:r>
      <w:r w:rsidR="000E08F3" w:rsidRPr="00A42B98">
        <w:rPr>
          <w:rFonts w:ascii="Century Gothic" w:eastAsia="Times New Roman" w:hAnsi="Century Gothic" w:cs="Calibri"/>
          <w:lang w:eastAsia="fr-FR"/>
        </w:rPr>
        <w:t>valeur locative/</w:t>
      </w:r>
      <w:r w:rsidR="00FE6F5B" w:rsidRPr="00A42B98">
        <w:rPr>
          <w:rFonts w:ascii="Century Gothic" w:eastAsia="Times New Roman" w:hAnsi="Century Gothic" w:cs="Calibri"/>
          <w:lang w:eastAsia="fr-FR"/>
        </w:rPr>
        <w:t>valeur sur le marché de l’occasion</w:t>
      </w:r>
      <w:r w:rsidRPr="00A42B98">
        <w:rPr>
          <w:rFonts w:ascii="Century Gothic" w:eastAsia="Times New Roman" w:hAnsi="Century Gothic" w:cs="Calibri"/>
          <w:lang w:eastAsia="fr-FR"/>
        </w:rPr>
        <w:t xml:space="preserve"> etc.) ; en tout état de cause, elle </w:t>
      </w:r>
      <w:r w:rsidR="009916D2" w:rsidRPr="00A42B98">
        <w:rPr>
          <w:rFonts w:ascii="Century Gothic" w:eastAsia="Times New Roman" w:hAnsi="Century Gothic" w:cs="Calibri"/>
          <w:lang w:eastAsia="fr-FR"/>
        </w:rPr>
        <w:t xml:space="preserve">aura obligation de </w:t>
      </w:r>
      <w:r w:rsidRPr="00A42B98">
        <w:rPr>
          <w:rFonts w:ascii="Century Gothic" w:eastAsia="Times New Roman" w:hAnsi="Century Gothic" w:cs="Calibri"/>
          <w:lang w:eastAsia="fr-FR"/>
        </w:rPr>
        <w:t xml:space="preserve">justifier précisément le calcul des valorisations dans le cadre </w:t>
      </w:r>
      <w:r w:rsidR="009916D2" w:rsidRPr="00A42B98">
        <w:rPr>
          <w:rFonts w:ascii="Century Gothic" w:eastAsia="Times New Roman" w:hAnsi="Century Gothic" w:cs="Calibri"/>
          <w:lang w:eastAsia="fr-FR"/>
        </w:rPr>
        <w:t>de l’</w:t>
      </w:r>
      <w:r w:rsidRPr="00A42B98">
        <w:rPr>
          <w:rFonts w:ascii="Century Gothic" w:eastAsia="Times New Roman" w:hAnsi="Century Gothic" w:cs="Calibri"/>
          <w:lang w:eastAsia="fr-FR"/>
        </w:rPr>
        <w:t>audit financier</w:t>
      </w:r>
      <w:r w:rsidR="009916D2" w:rsidRPr="00A42B98">
        <w:rPr>
          <w:rFonts w:ascii="Century Gothic" w:eastAsia="Times New Roman" w:hAnsi="Century Gothic" w:cs="Calibri"/>
          <w:lang w:eastAsia="fr-FR"/>
        </w:rPr>
        <w:t xml:space="preserve"> du projet/programme.</w:t>
      </w:r>
      <w:r w:rsidR="00B507BB" w:rsidRPr="00A42B98">
        <w:rPr>
          <w:rFonts w:ascii="Century Gothic" w:eastAsia="Times New Roman" w:hAnsi="Century Gothic" w:cs="Calibri"/>
          <w:lang w:eastAsia="fr-FR"/>
        </w:rPr>
        <w:t>.</w:t>
      </w:r>
    </w:p>
    <w:p w14:paraId="0DA3701D" w14:textId="16EECC1C" w:rsidR="00776E6D" w:rsidRPr="00A42B98" w:rsidRDefault="00776E6D" w:rsidP="00776E6D">
      <w:pPr>
        <w:spacing w:before="7" w:after="0" w:line="240" w:lineRule="auto"/>
        <w:jc w:val="both"/>
        <w:rPr>
          <w:rFonts w:ascii="Century Gothic" w:eastAsia="Times New Roman" w:hAnsi="Century Gothic" w:cs="Times New Roman"/>
          <w:lang w:eastAsia="fr-FR"/>
        </w:rPr>
      </w:pPr>
    </w:p>
    <w:p w14:paraId="710708FF" w14:textId="77777777" w:rsidR="003002D1" w:rsidRPr="00A42B98" w:rsidRDefault="003002D1" w:rsidP="003002D1">
      <w:pPr>
        <w:keepNext/>
        <w:tabs>
          <w:tab w:val="num" w:pos="432"/>
        </w:tabs>
        <w:spacing w:before="240" w:after="60" w:line="240" w:lineRule="auto"/>
        <w:ind w:left="432" w:hanging="432"/>
        <w:outlineLvl w:val="0"/>
        <w:rPr>
          <w:rFonts w:ascii="Century Gothic" w:eastAsia="Times New Roman" w:hAnsi="Century Gothic" w:cs="Arial"/>
          <w:b/>
          <w:bCs/>
          <w:color w:val="FF0000"/>
          <w:kern w:val="32"/>
          <w:u w:val="single"/>
          <w:lang w:eastAsia="fr-FR"/>
        </w:rPr>
      </w:pPr>
      <w:r w:rsidRPr="00A42B98">
        <w:rPr>
          <w:rFonts w:ascii="Century Gothic" w:eastAsia="Times New Roman" w:hAnsi="Century Gothic" w:cs="Arial"/>
          <w:b/>
          <w:bCs/>
          <w:color w:val="FF0000"/>
          <w:kern w:val="32"/>
          <w:u w:val="single"/>
          <w:lang w:eastAsia="fr-FR"/>
        </w:rPr>
        <w:t>L’onglet "Répartition RH" pour les projets « Terrain » et « Intérêt Général »</w:t>
      </w:r>
    </w:p>
    <w:p w14:paraId="35F11D6B" w14:textId="31B96225" w:rsidR="003002D1" w:rsidRPr="00A20555" w:rsidRDefault="003002D1" w:rsidP="003002D1">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Cette onglet permet de détailler les coûts RH en indiquant le coût unitaire x % temps passé par fonction (une fonction par ligne) de préciser le contenu du poste et son implication directe dans le projet</w:t>
      </w:r>
      <w:r w:rsidR="006518CB" w:rsidRPr="00A20555">
        <w:rPr>
          <w:rFonts w:ascii="Century Gothic" w:eastAsia="Times New Roman" w:hAnsi="Century Gothic" w:cs="Times New Roman"/>
          <w:lang w:eastAsia="fr-FR"/>
        </w:rPr>
        <w:t xml:space="preserve"> ainsi que sa structure d’appartenance. </w:t>
      </w:r>
    </w:p>
    <w:p w14:paraId="3CA4F86B" w14:textId="77777777" w:rsidR="003002D1" w:rsidRPr="00A20555" w:rsidRDefault="003002D1" w:rsidP="003002D1">
      <w:pPr>
        <w:spacing w:before="3" w:after="0" w:line="242" w:lineRule="auto"/>
        <w:jc w:val="both"/>
        <w:rPr>
          <w:rFonts w:ascii="Century Gothic" w:eastAsia="Times New Roman" w:hAnsi="Century Gothic" w:cs="Times New Roman"/>
          <w:lang w:eastAsia="fr-FR"/>
        </w:rPr>
      </w:pPr>
    </w:p>
    <w:p w14:paraId="7E02523B" w14:textId="5DAF3D07" w:rsidR="003002D1" w:rsidRPr="00A20555" w:rsidRDefault="003002D1" w:rsidP="003002D1">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Cet onglet du tableau doit être remis à DPA/OSC avec la NIONG et</w:t>
      </w:r>
      <w:r w:rsidR="00A52623" w:rsidRPr="00A20555">
        <w:rPr>
          <w:rFonts w:ascii="Century Gothic" w:eastAsia="Times New Roman" w:hAnsi="Century Gothic" w:cs="Times New Roman"/>
          <w:lang w:eastAsia="fr-FR"/>
        </w:rPr>
        <w:t xml:space="preserve"> devra être actualisé au moment de la remise des comptes rendus d’exécution intermédiaire et final.</w:t>
      </w:r>
    </w:p>
    <w:p w14:paraId="3CAF5B6D" w14:textId="79C595F4" w:rsidR="003002D1" w:rsidRPr="00A42B98" w:rsidRDefault="003002D1" w:rsidP="00776E6D">
      <w:pPr>
        <w:spacing w:before="7" w:after="0" w:line="240" w:lineRule="auto"/>
        <w:jc w:val="both"/>
        <w:rPr>
          <w:rFonts w:ascii="Century Gothic" w:eastAsia="Times New Roman" w:hAnsi="Century Gothic" w:cs="Times New Roman"/>
          <w:lang w:eastAsia="fr-FR"/>
        </w:rPr>
      </w:pPr>
    </w:p>
    <w:p w14:paraId="5210C800" w14:textId="77777777" w:rsidR="00776E6D" w:rsidRPr="00A42B98" w:rsidRDefault="00776E6D" w:rsidP="00776E6D">
      <w:pPr>
        <w:keepNext/>
        <w:tabs>
          <w:tab w:val="num" w:pos="432"/>
        </w:tabs>
        <w:spacing w:before="53" w:after="105" w:line="240" w:lineRule="auto"/>
        <w:ind w:hanging="432"/>
        <w:jc w:val="both"/>
        <w:outlineLvl w:val="0"/>
        <w:rPr>
          <w:rFonts w:ascii="Century Gothic" w:eastAsia="Times New Roman" w:hAnsi="Century Gothic" w:cs="Arial"/>
          <w:b/>
          <w:bCs/>
          <w:kern w:val="32"/>
          <w:u w:val="single"/>
          <w:lang w:eastAsia="fr-FR"/>
        </w:rPr>
      </w:pPr>
      <w:r w:rsidRPr="00A42B98">
        <w:rPr>
          <w:rFonts w:ascii="Century Gothic" w:eastAsia="Times New Roman" w:hAnsi="Century Gothic" w:cs="Arial"/>
          <w:b/>
          <w:bCs/>
          <w:color w:val="231F20"/>
          <w:kern w:val="32"/>
          <w:u w:val="single"/>
          <w:lang w:eastAsia="fr-FR"/>
        </w:rPr>
        <w:t>L’onglet « répartition des dépenses par objectif »</w:t>
      </w:r>
    </w:p>
    <w:p w14:paraId="68D57C11" w14:textId="77777777"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L’OSC doit préciser la répartition des dépenses (prévisionnelles) ventilées par objectif spécifique, tel que présenté dans la NIONG.</w:t>
      </w:r>
    </w:p>
    <w:p w14:paraId="610590BC" w14:textId="05D59A4C"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dépenses ventilées par objectifs additionnées aux « dépenses transversales », aux « divers et imprévus » et aux « coûts indirects » doivent correspondre au montant total du budget </w:t>
      </w:r>
      <w:r w:rsidR="005327FB" w:rsidRPr="00A42B98">
        <w:rPr>
          <w:rFonts w:ascii="Century Gothic" w:eastAsia="Times New Roman" w:hAnsi="Century Gothic" w:cs="Calibri"/>
          <w:lang w:eastAsia="fr-FR"/>
        </w:rPr>
        <w:t xml:space="preserve">prévisionnel </w:t>
      </w:r>
      <w:r w:rsidRPr="00A42B98">
        <w:rPr>
          <w:rFonts w:ascii="Century Gothic" w:eastAsia="Times New Roman" w:hAnsi="Century Gothic" w:cs="Calibri"/>
          <w:lang w:eastAsia="fr-FR"/>
        </w:rPr>
        <w:t>présenté.</w:t>
      </w:r>
    </w:p>
    <w:p w14:paraId="2D8E601A"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4A099D30"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r w:rsidRPr="00A20555">
        <w:rPr>
          <w:rFonts w:ascii="Century Gothic" w:eastAsia="Times New Roman" w:hAnsi="Century Gothic" w:cs="Times New Roman"/>
          <w:lang w:eastAsia="fr-FR"/>
        </w:rPr>
        <w:t>Cet onglet du tableau doit être remis à DPA/OSC avec la NIONG.</w:t>
      </w:r>
    </w:p>
    <w:p w14:paraId="46BEED40" w14:textId="77777777" w:rsidR="00776E6D" w:rsidRPr="00A42B98" w:rsidRDefault="00776E6D" w:rsidP="00776E6D">
      <w:pPr>
        <w:spacing w:before="7" w:after="0" w:line="240" w:lineRule="auto"/>
        <w:jc w:val="both"/>
        <w:rPr>
          <w:rFonts w:ascii="Century Gothic" w:eastAsia="Times New Roman" w:hAnsi="Century Gothic" w:cs="Times New Roman"/>
          <w:i/>
          <w:lang w:eastAsia="fr-FR"/>
        </w:rPr>
      </w:pPr>
    </w:p>
    <w:p w14:paraId="25A09A6D" w14:textId="77777777" w:rsidR="00776E6D" w:rsidRPr="00A42B98" w:rsidRDefault="00776E6D" w:rsidP="00776E6D">
      <w:pPr>
        <w:keepNext/>
        <w:tabs>
          <w:tab w:val="num" w:pos="432"/>
        </w:tabs>
        <w:spacing w:before="53" w:after="105" w:line="240" w:lineRule="auto"/>
        <w:ind w:hanging="432"/>
        <w:jc w:val="both"/>
        <w:outlineLvl w:val="0"/>
        <w:rPr>
          <w:rFonts w:ascii="Century Gothic" w:eastAsia="Times New Roman" w:hAnsi="Century Gothic" w:cs="Arial"/>
          <w:b/>
          <w:bCs/>
          <w:color w:val="231F20"/>
          <w:kern w:val="32"/>
          <w:u w:val="single"/>
          <w:lang w:eastAsia="fr-FR"/>
        </w:rPr>
      </w:pPr>
      <w:r w:rsidRPr="00A42B98">
        <w:rPr>
          <w:rFonts w:ascii="Century Gothic" w:eastAsia="Times New Roman" w:hAnsi="Century Gothic" w:cs="Arial"/>
          <w:b/>
          <w:bCs/>
          <w:color w:val="231F20"/>
          <w:kern w:val="32"/>
          <w:u w:val="single"/>
          <w:lang w:eastAsia="fr-FR"/>
        </w:rPr>
        <w:t>L’onglet « répartition des dépenses par pays »</w:t>
      </w:r>
    </w:p>
    <w:p w14:paraId="1D5109D6" w14:textId="77777777" w:rsidR="00776E6D" w:rsidRPr="00A42B98" w:rsidRDefault="00776E6D" w:rsidP="00776E6D">
      <w:pPr>
        <w:keepNext/>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Dans le cadre d’un projet qui implique plusieurs pays, l’OSC doit préciser la répartition des dépenses entre les pays (prévisionnel et réalisé). Les dépenses ventilées par pays ne se limitent pas aux rétrocessions financières ni même aux dépenses acquittées dans le pays mais correspondent à l’ensemble des dépenses du projet bénéficiant au pays.</w:t>
      </w:r>
    </w:p>
    <w:p w14:paraId="48F32019" w14:textId="77777777"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dépenses ventilées par pays additionnées aux dépenses transversales, aux « divers et imprévus » et aux coûts indirects doivent correspondre au montant total du budget présenté (prévisionnel et réalisé).</w:t>
      </w:r>
    </w:p>
    <w:p w14:paraId="32233241" w14:textId="77777777" w:rsidR="00776E6D" w:rsidRPr="00A20555" w:rsidRDefault="00776E6D" w:rsidP="00776E6D">
      <w:pPr>
        <w:spacing w:before="3" w:after="0" w:line="242" w:lineRule="auto"/>
        <w:jc w:val="both"/>
        <w:rPr>
          <w:rFonts w:ascii="Century Gothic" w:eastAsia="Times New Roman" w:hAnsi="Century Gothic" w:cs="Calibri"/>
          <w:lang w:eastAsia="fr-FR"/>
        </w:rPr>
      </w:pPr>
    </w:p>
    <w:p w14:paraId="0B4BB2EB" w14:textId="2E05962C" w:rsidR="002508C2" w:rsidRPr="00A20555" w:rsidRDefault="00776E6D" w:rsidP="00776E6D">
      <w:pPr>
        <w:spacing w:before="3" w:after="0" w:line="242" w:lineRule="auto"/>
        <w:jc w:val="both"/>
        <w:rPr>
          <w:rFonts w:ascii="Century Gothic" w:eastAsia="Times New Roman" w:hAnsi="Century Gothic" w:cs="Calibri"/>
          <w:lang w:eastAsia="fr-FR"/>
        </w:rPr>
      </w:pPr>
      <w:r w:rsidRPr="00A20555">
        <w:rPr>
          <w:rFonts w:ascii="Century Gothic" w:eastAsia="Times New Roman" w:hAnsi="Century Gothic" w:cs="Calibri"/>
          <w:lang w:eastAsia="fr-FR"/>
        </w:rPr>
        <w:t>Cet onglet du tableau doit être remis à DPA/OSC avec la NIONG, puis actualisé à la fin du projet, dans le compte-rendu technique et financier final.</w:t>
      </w:r>
    </w:p>
    <w:p w14:paraId="275EEE54" w14:textId="4EF31B52" w:rsidR="008357F9" w:rsidRPr="00A42B98" w:rsidRDefault="008357F9" w:rsidP="00776E6D">
      <w:pPr>
        <w:spacing w:before="3" w:after="0" w:line="242" w:lineRule="auto"/>
        <w:jc w:val="both"/>
        <w:rPr>
          <w:rFonts w:ascii="Century Gothic" w:eastAsia="Times New Roman" w:hAnsi="Century Gothic" w:cs="Times New Roman"/>
          <w:color w:val="347E9F"/>
          <w:lang w:eastAsia="fr-FR"/>
        </w:rPr>
      </w:pPr>
    </w:p>
    <w:p w14:paraId="5F6BF181" w14:textId="77777777" w:rsidR="008357F9" w:rsidRPr="00A42B98" w:rsidRDefault="008357F9" w:rsidP="00776E6D">
      <w:pPr>
        <w:spacing w:before="3" w:after="0" w:line="242" w:lineRule="auto"/>
        <w:jc w:val="both"/>
        <w:rPr>
          <w:rFonts w:ascii="Century Gothic" w:eastAsia="Times New Roman" w:hAnsi="Century Gothic" w:cs="Times New Roman"/>
          <w:color w:val="347E9F"/>
          <w:lang w:eastAsia="fr-FR"/>
        </w:rPr>
      </w:pPr>
    </w:p>
    <w:sectPr w:rsidR="008357F9" w:rsidRPr="00A42B98" w:rsidSect="00362D0F">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134" w:left="1418"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B698D" w14:textId="77777777" w:rsidR="003B1826" w:rsidRDefault="003B1826" w:rsidP="00776E6D">
      <w:pPr>
        <w:spacing w:after="0" w:line="240" w:lineRule="auto"/>
      </w:pPr>
      <w:r>
        <w:separator/>
      </w:r>
    </w:p>
  </w:endnote>
  <w:endnote w:type="continuationSeparator" w:id="0">
    <w:p w14:paraId="1761D56B" w14:textId="77777777" w:rsidR="003B1826" w:rsidRDefault="003B1826" w:rsidP="00776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73280" w14:textId="77777777" w:rsidR="00C01398" w:rsidRDefault="00C01398"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C490AA0" w14:textId="77777777" w:rsidR="00C01398" w:rsidRDefault="00C01398" w:rsidP="00C0139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1421" w14:textId="1488C004" w:rsidR="00C01398" w:rsidRDefault="00C01398"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AA0233">
      <w:rPr>
        <w:rStyle w:val="Numrodepage"/>
        <w:noProof/>
      </w:rPr>
      <w:t>1</w:t>
    </w:r>
    <w:r>
      <w:rPr>
        <w:rStyle w:val="Numrodepage"/>
      </w:rPr>
      <w:fldChar w:fldCharType="end"/>
    </w:r>
  </w:p>
  <w:p w14:paraId="60A623D5" w14:textId="77777777" w:rsidR="00C01398" w:rsidRDefault="00C01398" w:rsidP="00C0139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096E0" w14:textId="77777777" w:rsidR="00AA0233" w:rsidRDefault="00AA023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EEB1A" w14:textId="77777777" w:rsidR="003B1826" w:rsidRDefault="003B1826" w:rsidP="00776E6D">
      <w:pPr>
        <w:spacing w:after="0" w:line="240" w:lineRule="auto"/>
      </w:pPr>
      <w:r>
        <w:separator/>
      </w:r>
    </w:p>
  </w:footnote>
  <w:footnote w:type="continuationSeparator" w:id="0">
    <w:p w14:paraId="427F47BF" w14:textId="77777777" w:rsidR="003B1826" w:rsidRDefault="003B1826" w:rsidP="00776E6D">
      <w:pPr>
        <w:spacing w:after="0" w:line="240" w:lineRule="auto"/>
      </w:pPr>
      <w:r>
        <w:continuationSeparator/>
      </w:r>
    </w:p>
  </w:footnote>
  <w:footnote w:id="1">
    <w:p w14:paraId="621CD0E1" w14:textId="77777777" w:rsidR="00C01398" w:rsidRDefault="00C01398" w:rsidP="00776E6D">
      <w:pPr>
        <w:pStyle w:val="Notedebasdepage"/>
      </w:pPr>
      <w:r>
        <w:rPr>
          <w:rStyle w:val="Appelnotedebasdep"/>
        </w:rPr>
        <w:footnoteRef/>
      </w:r>
      <w:r>
        <w:t xml:space="preserve"> Leasing : location-vente de biens qui est assortie d’une option d’achat à l’issue d’une période déterminée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04E60" w14:textId="77777777" w:rsidR="00AA0233" w:rsidRDefault="00AA023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906E" w14:textId="754A3243" w:rsidR="00C01398" w:rsidRPr="00C65FAF" w:rsidRDefault="00AA0233" w:rsidP="00C01398">
    <w:pPr>
      <w:pStyle w:val="En-tte"/>
      <w:ind w:left="-720"/>
      <w:rPr>
        <w:b/>
        <w:i/>
      </w:rPr>
    </w:pPr>
    <w:r>
      <w:rPr>
        <w:b/>
        <w:i/>
      </w:rPr>
      <w:t>Mars 2023</w:t>
    </w: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BDA52" w14:textId="77777777" w:rsidR="00AA0233" w:rsidRDefault="00AA023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65A42"/>
    <w:multiLevelType w:val="hybridMultilevel"/>
    <w:tmpl w:val="C37CF4DC"/>
    <w:lvl w:ilvl="0" w:tplc="040C000B">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375E73"/>
    <w:multiLevelType w:val="hybridMultilevel"/>
    <w:tmpl w:val="C888B1B4"/>
    <w:lvl w:ilvl="0" w:tplc="D902D5B0">
      <w:start w:val="101"/>
      <w:numFmt w:val="bullet"/>
      <w:lvlText w:val="-"/>
      <w:lvlJc w:val="left"/>
      <w:pPr>
        <w:tabs>
          <w:tab w:val="num" w:pos="360"/>
        </w:tabs>
        <w:ind w:left="360" w:hanging="360"/>
      </w:pPr>
      <w:rPr>
        <w:rFonts w:ascii="Arial Narrow" w:eastAsia="Calibri" w:hAnsi="Arial Narrow" w:cs="Times New Roman" w:hint="default"/>
        <w:color w:val="auto"/>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655795"/>
    <w:multiLevelType w:val="hybridMultilevel"/>
    <w:tmpl w:val="EFF63A46"/>
    <w:lvl w:ilvl="0" w:tplc="34400C8E">
      <w:numFmt w:val="bullet"/>
      <w:lvlText w:val="-"/>
      <w:lvlJc w:val="left"/>
      <w:pPr>
        <w:ind w:left="720" w:hanging="360"/>
      </w:pPr>
      <w:rPr>
        <w:rFonts w:ascii="Times New Roman" w:eastAsia="Times New Roman" w:hAnsi="Times New Roman" w:cs="Times New Roman"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1F867B3"/>
    <w:multiLevelType w:val="hybridMultilevel"/>
    <w:tmpl w:val="DF2057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87A6C1B"/>
    <w:multiLevelType w:val="hybridMultilevel"/>
    <w:tmpl w:val="9CBC58E4"/>
    <w:lvl w:ilvl="0" w:tplc="2334DD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E8410A2"/>
    <w:multiLevelType w:val="hybridMultilevel"/>
    <w:tmpl w:val="7374A15A"/>
    <w:lvl w:ilvl="0" w:tplc="040C0005">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6D"/>
    <w:rsid w:val="000135D1"/>
    <w:rsid w:val="00054F55"/>
    <w:rsid w:val="000B5089"/>
    <w:rsid w:val="000E08F3"/>
    <w:rsid w:val="000F069F"/>
    <w:rsid w:val="000F2240"/>
    <w:rsid w:val="001022EA"/>
    <w:rsid w:val="001043EE"/>
    <w:rsid w:val="001246B8"/>
    <w:rsid w:val="001521CC"/>
    <w:rsid w:val="001821B6"/>
    <w:rsid w:val="00205554"/>
    <w:rsid w:val="002508C2"/>
    <w:rsid w:val="00260FBF"/>
    <w:rsid w:val="0027604D"/>
    <w:rsid w:val="002835B7"/>
    <w:rsid w:val="002D0BC7"/>
    <w:rsid w:val="002D35FE"/>
    <w:rsid w:val="003002D1"/>
    <w:rsid w:val="00311429"/>
    <w:rsid w:val="00362D0F"/>
    <w:rsid w:val="00380566"/>
    <w:rsid w:val="003A0D3E"/>
    <w:rsid w:val="003A4B9F"/>
    <w:rsid w:val="003B1826"/>
    <w:rsid w:val="003B47E6"/>
    <w:rsid w:val="003B50D0"/>
    <w:rsid w:val="003B58D2"/>
    <w:rsid w:val="003D40ED"/>
    <w:rsid w:val="003F5677"/>
    <w:rsid w:val="00407AC5"/>
    <w:rsid w:val="0043234D"/>
    <w:rsid w:val="004761F5"/>
    <w:rsid w:val="004805D7"/>
    <w:rsid w:val="004903F4"/>
    <w:rsid w:val="004D51F6"/>
    <w:rsid w:val="004E23BE"/>
    <w:rsid w:val="00527EC3"/>
    <w:rsid w:val="005327FB"/>
    <w:rsid w:val="00551512"/>
    <w:rsid w:val="005B5182"/>
    <w:rsid w:val="005B7DE4"/>
    <w:rsid w:val="005C32C9"/>
    <w:rsid w:val="00623551"/>
    <w:rsid w:val="006249E0"/>
    <w:rsid w:val="006518CB"/>
    <w:rsid w:val="006548CA"/>
    <w:rsid w:val="006802C2"/>
    <w:rsid w:val="00694C2F"/>
    <w:rsid w:val="006B21F7"/>
    <w:rsid w:val="006C2A4C"/>
    <w:rsid w:val="006E537F"/>
    <w:rsid w:val="00776E6D"/>
    <w:rsid w:val="00777337"/>
    <w:rsid w:val="00790F8D"/>
    <w:rsid w:val="00793C7C"/>
    <w:rsid w:val="007B727D"/>
    <w:rsid w:val="007C2FCF"/>
    <w:rsid w:val="007D3674"/>
    <w:rsid w:val="007D4B4B"/>
    <w:rsid w:val="007E5D74"/>
    <w:rsid w:val="00800984"/>
    <w:rsid w:val="008053F5"/>
    <w:rsid w:val="008116AA"/>
    <w:rsid w:val="0081262B"/>
    <w:rsid w:val="00830EB9"/>
    <w:rsid w:val="008357F9"/>
    <w:rsid w:val="008371BB"/>
    <w:rsid w:val="00851283"/>
    <w:rsid w:val="0089445C"/>
    <w:rsid w:val="008D25F7"/>
    <w:rsid w:val="008E20F7"/>
    <w:rsid w:val="0092266B"/>
    <w:rsid w:val="009916D2"/>
    <w:rsid w:val="009B53E0"/>
    <w:rsid w:val="009B78B5"/>
    <w:rsid w:val="009C7EAE"/>
    <w:rsid w:val="009E239E"/>
    <w:rsid w:val="00A20555"/>
    <w:rsid w:val="00A215BD"/>
    <w:rsid w:val="00A25976"/>
    <w:rsid w:val="00A4272E"/>
    <w:rsid w:val="00A42B98"/>
    <w:rsid w:val="00A52623"/>
    <w:rsid w:val="00A739A1"/>
    <w:rsid w:val="00AA0233"/>
    <w:rsid w:val="00AD655A"/>
    <w:rsid w:val="00AF4599"/>
    <w:rsid w:val="00B35E3A"/>
    <w:rsid w:val="00B507BB"/>
    <w:rsid w:val="00B551AF"/>
    <w:rsid w:val="00B70253"/>
    <w:rsid w:val="00B737FF"/>
    <w:rsid w:val="00B73F87"/>
    <w:rsid w:val="00B856B1"/>
    <w:rsid w:val="00B92713"/>
    <w:rsid w:val="00BA7408"/>
    <w:rsid w:val="00BB24AD"/>
    <w:rsid w:val="00C01398"/>
    <w:rsid w:val="00C07190"/>
    <w:rsid w:val="00C4497F"/>
    <w:rsid w:val="00C478AA"/>
    <w:rsid w:val="00C60E2E"/>
    <w:rsid w:val="00C62C4F"/>
    <w:rsid w:val="00C92A5F"/>
    <w:rsid w:val="00CB36E8"/>
    <w:rsid w:val="00CB4598"/>
    <w:rsid w:val="00CF1B0F"/>
    <w:rsid w:val="00D00C10"/>
    <w:rsid w:val="00D11DFB"/>
    <w:rsid w:val="00D44D79"/>
    <w:rsid w:val="00D46D4C"/>
    <w:rsid w:val="00D51C7A"/>
    <w:rsid w:val="00D63194"/>
    <w:rsid w:val="00D8272D"/>
    <w:rsid w:val="00D85909"/>
    <w:rsid w:val="00D94E70"/>
    <w:rsid w:val="00DA4BC3"/>
    <w:rsid w:val="00DC7501"/>
    <w:rsid w:val="00DD3465"/>
    <w:rsid w:val="00DD4E0A"/>
    <w:rsid w:val="00E07620"/>
    <w:rsid w:val="00E15190"/>
    <w:rsid w:val="00E33D68"/>
    <w:rsid w:val="00E7571A"/>
    <w:rsid w:val="00E879FA"/>
    <w:rsid w:val="00EA095D"/>
    <w:rsid w:val="00EA382A"/>
    <w:rsid w:val="00EA775E"/>
    <w:rsid w:val="00F2515F"/>
    <w:rsid w:val="00F53C82"/>
    <w:rsid w:val="00F86A6E"/>
    <w:rsid w:val="00F921F6"/>
    <w:rsid w:val="00FE6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3D31"/>
  <w15:chartTrackingRefBased/>
  <w15:docId w15:val="{B7C196B3-7DFD-4A1E-9C86-618FE9FF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76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6E6D"/>
  </w:style>
  <w:style w:type="paragraph" w:styleId="En-tte">
    <w:name w:val="header"/>
    <w:basedOn w:val="Normal"/>
    <w:link w:val="En-tteCar"/>
    <w:uiPriority w:val="99"/>
    <w:unhideWhenUsed/>
    <w:rsid w:val="00776E6D"/>
    <w:pPr>
      <w:tabs>
        <w:tab w:val="center" w:pos="4536"/>
        <w:tab w:val="right" w:pos="9072"/>
      </w:tabs>
      <w:spacing w:after="0" w:line="240" w:lineRule="auto"/>
    </w:pPr>
  </w:style>
  <w:style w:type="character" w:customStyle="1" w:styleId="En-tteCar">
    <w:name w:val="En-tête Car"/>
    <w:basedOn w:val="Policepardfaut"/>
    <w:link w:val="En-tte"/>
    <w:uiPriority w:val="99"/>
    <w:rsid w:val="00776E6D"/>
  </w:style>
  <w:style w:type="paragraph" w:styleId="Notedebasdepage">
    <w:name w:val="footnote text"/>
    <w:basedOn w:val="Normal"/>
    <w:link w:val="NotedebasdepageCar"/>
    <w:uiPriority w:val="99"/>
    <w:semiHidden/>
    <w:unhideWhenUsed/>
    <w:rsid w:val="00776E6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76E6D"/>
    <w:rPr>
      <w:sz w:val="20"/>
      <w:szCs w:val="20"/>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ftref,Référence pied de page"/>
    <w:semiHidden/>
    <w:rsid w:val="00776E6D"/>
    <w:rPr>
      <w:vertAlign w:val="baseline"/>
    </w:rPr>
  </w:style>
  <w:style w:type="character" w:styleId="Numrodepage">
    <w:name w:val="page number"/>
    <w:basedOn w:val="Policepardfaut"/>
    <w:rsid w:val="00776E6D"/>
  </w:style>
  <w:style w:type="paragraph" w:styleId="Paragraphedeliste">
    <w:name w:val="List Paragraph"/>
    <w:basedOn w:val="Normal"/>
    <w:uiPriority w:val="1"/>
    <w:qFormat/>
    <w:rsid w:val="00D94E70"/>
    <w:pPr>
      <w:spacing w:after="0" w:line="240" w:lineRule="auto"/>
      <w:ind w:left="720"/>
      <w:contextualSpacing/>
    </w:pPr>
    <w:rPr>
      <w:rFonts w:ascii="Cambria" w:eastAsia="Cambria" w:hAnsi="Cambria" w:cs="Times New Roman"/>
      <w:sz w:val="24"/>
      <w:szCs w:val="24"/>
    </w:rPr>
  </w:style>
  <w:style w:type="character" w:styleId="Marquedecommentaire">
    <w:name w:val="annotation reference"/>
    <w:basedOn w:val="Policepardfaut"/>
    <w:uiPriority w:val="99"/>
    <w:semiHidden/>
    <w:unhideWhenUsed/>
    <w:rsid w:val="005B7DE4"/>
    <w:rPr>
      <w:sz w:val="16"/>
      <w:szCs w:val="16"/>
    </w:rPr>
  </w:style>
  <w:style w:type="paragraph" w:styleId="Commentaire">
    <w:name w:val="annotation text"/>
    <w:basedOn w:val="Normal"/>
    <w:link w:val="CommentaireCar"/>
    <w:uiPriority w:val="99"/>
    <w:semiHidden/>
    <w:unhideWhenUsed/>
    <w:rsid w:val="005B7DE4"/>
    <w:pPr>
      <w:spacing w:line="240" w:lineRule="auto"/>
    </w:pPr>
    <w:rPr>
      <w:sz w:val="20"/>
      <w:szCs w:val="20"/>
    </w:rPr>
  </w:style>
  <w:style w:type="character" w:customStyle="1" w:styleId="CommentaireCar">
    <w:name w:val="Commentaire Car"/>
    <w:basedOn w:val="Policepardfaut"/>
    <w:link w:val="Commentaire"/>
    <w:uiPriority w:val="99"/>
    <w:semiHidden/>
    <w:rsid w:val="005B7DE4"/>
    <w:rPr>
      <w:sz w:val="20"/>
      <w:szCs w:val="20"/>
    </w:rPr>
  </w:style>
  <w:style w:type="paragraph" w:styleId="Objetducommentaire">
    <w:name w:val="annotation subject"/>
    <w:basedOn w:val="Commentaire"/>
    <w:next w:val="Commentaire"/>
    <w:link w:val="ObjetducommentaireCar"/>
    <w:uiPriority w:val="99"/>
    <w:semiHidden/>
    <w:unhideWhenUsed/>
    <w:rsid w:val="005B7DE4"/>
    <w:rPr>
      <w:b/>
      <w:bCs/>
    </w:rPr>
  </w:style>
  <w:style w:type="character" w:customStyle="1" w:styleId="ObjetducommentaireCar">
    <w:name w:val="Objet du commentaire Car"/>
    <w:basedOn w:val="CommentaireCar"/>
    <w:link w:val="Objetducommentaire"/>
    <w:uiPriority w:val="99"/>
    <w:semiHidden/>
    <w:rsid w:val="005B7DE4"/>
    <w:rPr>
      <w:b/>
      <w:bCs/>
      <w:sz w:val="20"/>
      <w:szCs w:val="20"/>
    </w:rPr>
  </w:style>
  <w:style w:type="paragraph" w:styleId="Textedebulles">
    <w:name w:val="Balloon Text"/>
    <w:basedOn w:val="Normal"/>
    <w:link w:val="TextedebullesCar"/>
    <w:uiPriority w:val="99"/>
    <w:semiHidden/>
    <w:unhideWhenUsed/>
    <w:rsid w:val="005B7D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7D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8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C1FA9-0D0F-43FD-9D79-61E67D205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5430</Words>
  <Characters>29871</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HUGUENIN Valérie</dc:creator>
  <cp:keywords/>
  <dc:description/>
  <cp:lastModifiedBy>PINTADO Na'akin</cp:lastModifiedBy>
  <cp:revision>8</cp:revision>
  <cp:lastPrinted>2022-05-25T09:06:00Z</cp:lastPrinted>
  <dcterms:created xsi:type="dcterms:W3CDTF">2022-11-04T14:06:00Z</dcterms:created>
  <dcterms:modified xsi:type="dcterms:W3CDTF">2023-03-16T17:01:00Z</dcterms:modified>
</cp:coreProperties>
</file>